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F50017">
      <w:pPr>
        <w:rPr>
          <w:rFonts w:eastAsia="仿宋_GB2312" w:cs="仿宋_GB2312"/>
          <w:sz w:val="36"/>
          <w:szCs w:val="36"/>
        </w:rPr>
      </w:pPr>
    </w:p>
    <w:p w14:paraId="3C115CAE">
      <w:pPr>
        <w:rPr>
          <w:rFonts w:eastAsia="仿宋_GB2312" w:cs="仿宋_GB2312"/>
          <w:sz w:val="36"/>
          <w:szCs w:val="36"/>
        </w:rPr>
      </w:pPr>
    </w:p>
    <w:p w14:paraId="011D4F77">
      <w:pPr>
        <w:rPr>
          <w:rFonts w:eastAsia="仿宋_GB2312" w:cs="仿宋_GB2312"/>
          <w:sz w:val="36"/>
          <w:szCs w:val="36"/>
        </w:rPr>
      </w:pPr>
    </w:p>
    <w:p w14:paraId="5C7E29F2">
      <w:pPr>
        <w:rPr>
          <w:rFonts w:eastAsia="仿宋_GB2312" w:cs="仿宋_GB2312"/>
          <w:sz w:val="36"/>
          <w:szCs w:val="36"/>
        </w:rPr>
      </w:pPr>
    </w:p>
    <w:p w14:paraId="6F1C1F13">
      <w:pPr>
        <w:rPr>
          <w:rFonts w:eastAsia="仿宋_GB2312" w:cs="仿宋_GB2312"/>
          <w:sz w:val="36"/>
          <w:szCs w:val="36"/>
        </w:rPr>
      </w:pPr>
    </w:p>
    <w:p w14:paraId="24E1125E">
      <w:pPr>
        <w:snapToGrid w:val="0"/>
        <w:jc w:val="center"/>
        <w:outlineLvl w:val="2"/>
        <w:rPr>
          <w:rFonts w:eastAsia="方正小标宋_GBK"/>
          <w:bCs/>
          <w:sz w:val="72"/>
          <w:szCs w:val="72"/>
        </w:rPr>
      </w:pPr>
      <w:r>
        <w:rPr>
          <w:rFonts w:hint="eastAsia" w:eastAsia="方正小标宋_GBK"/>
          <w:bCs/>
          <w:sz w:val="72"/>
          <w:szCs w:val="72"/>
        </w:rPr>
        <w:t>建设项目环境影响报告表</w:t>
      </w:r>
    </w:p>
    <w:p w14:paraId="698A5A5E">
      <w:pPr>
        <w:snapToGrid w:val="0"/>
        <w:spacing w:before="192" w:beforeLines="80"/>
        <w:jc w:val="center"/>
        <w:rPr>
          <w:rFonts w:hint="eastAsia" w:eastAsia="楷体_GB2312"/>
          <w:bCs/>
          <w:sz w:val="48"/>
          <w:szCs w:val="48"/>
        </w:rPr>
      </w:pPr>
      <w:r>
        <w:rPr>
          <w:rFonts w:hint="eastAsia" w:eastAsia="楷体_GB2312"/>
          <w:bCs/>
          <w:sz w:val="48"/>
          <w:szCs w:val="48"/>
        </w:rPr>
        <w:t>（污染影响类）</w:t>
      </w:r>
    </w:p>
    <w:p w14:paraId="0AA81522">
      <w:pPr>
        <w:snapToGrid w:val="0"/>
        <w:spacing w:before="192" w:beforeLines="80"/>
        <w:jc w:val="center"/>
        <w:rPr>
          <w:rFonts w:hint="eastAsia" w:eastAsia="楷体_GB2312"/>
          <w:bCs/>
          <w:sz w:val="48"/>
          <w:szCs w:val="48"/>
          <w:lang w:eastAsia="zh-CN"/>
        </w:rPr>
      </w:pPr>
      <w:r>
        <w:rPr>
          <w:rFonts w:hint="eastAsia" w:eastAsia="楷体_GB2312"/>
          <w:bCs/>
          <w:sz w:val="48"/>
          <w:szCs w:val="48"/>
          <w:lang w:eastAsia="zh-CN"/>
        </w:rPr>
        <w:t>（</w:t>
      </w:r>
      <w:r>
        <w:rPr>
          <w:rFonts w:hint="eastAsia" w:eastAsia="楷体_GB2312"/>
          <w:bCs/>
          <w:sz w:val="48"/>
          <w:szCs w:val="48"/>
          <w:lang w:val="en-US" w:eastAsia="zh-CN"/>
        </w:rPr>
        <w:t>公示本</w:t>
      </w:r>
      <w:r>
        <w:rPr>
          <w:rFonts w:hint="eastAsia" w:eastAsia="楷体_GB2312"/>
          <w:bCs/>
          <w:sz w:val="48"/>
          <w:szCs w:val="48"/>
          <w:lang w:eastAsia="zh-CN"/>
        </w:rPr>
        <w:t>）</w:t>
      </w:r>
    </w:p>
    <w:p w14:paraId="7BB9A727">
      <w:pPr>
        <w:snapToGrid w:val="0"/>
        <w:spacing w:before="192" w:beforeLines="80"/>
        <w:jc w:val="center"/>
        <w:rPr>
          <w:rFonts w:eastAsia="楷体_GB2312"/>
          <w:bCs/>
          <w:sz w:val="48"/>
          <w:szCs w:val="48"/>
        </w:rPr>
      </w:pPr>
    </w:p>
    <w:p w14:paraId="1C4E8FA9">
      <w:pPr>
        <w:snapToGrid w:val="0"/>
        <w:spacing w:before="192" w:beforeLines="80"/>
        <w:jc w:val="center"/>
        <w:rPr>
          <w:rFonts w:eastAsia="楷体_GB2312"/>
          <w:bCs/>
          <w:sz w:val="48"/>
          <w:szCs w:val="48"/>
        </w:rPr>
      </w:pPr>
    </w:p>
    <w:p w14:paraId="0CEA100D">
      <w:pPr>
        <w:snapToGrid w:val="0"/>
        <w:spacing w:before="192" w:beforeLines="80"/>
        <w:jc w:val="center"/>
        <w:rPr>
          <w:rFonts w:eastAsia="楷体_GB2312"/>
          <w:bCs/>
          <w:sz w:val="48"/>
          <w:szCs w:val="48"/>
        </w:rPr>
      </w:pPr>
    </w:p>
    <w:p w14:paraId="0A768B68">
      <w:pPr>
        <w:snapToGrid w:val="0"/>
        <w:spacing w:before="192" w:beforeLines="80"/>
        <w:jc w:val="center"/>
        <w:rPr>
          <w:rFonts w:eastAsia="楷体_GB2312"/>
          <w:bCs/>
          <w:sz w:val="48"/>
          <w:szCs w:val="48"/>
        </w:rPr>
      </w:pPr>
    </w:p>
    <w:p w14:paraId="00CECF9B">
      <w:pPr>
        <w:snapToGrid w:val="0"/>
        <w:spacing w:before="192" w:beforeLines="80"/>
        <w:jc w:val="center"/>
        <w:rPr>
          <w:rFonts w:eastAsia="楷体_GB2312"/>
          <w:bCs/>
          <w:sz w:val="48"/>
          <w:szCs w:val="48"/>
        </w:rPr>
      </w:pPr>
    </w:p>
    <w:p w14:paraId="18FF10FA">
      <w:pPr>
        <w:snapToGrid w:val="0"/>
        <w:spacing w:before="192" w:beforeLines="80"/>
        <w:jc w:val="center"/>
        <w:rPr>
          <w:rFonts w:eastAsia="楷体_GB2312"/>
          <w:bCs/>
          <w:sz w:val="48"/>
          <w:szCs w:val="48"/>
        </w:rPr>
      </w:pPr>
    </w:p>
    <w:p w14:paraId="0C3B0BFC">
      <w:pPr>
        <w:snapToGrid w:val="0"/>
        <w:spacing w:before="192" w:beforeLines="80"/>
        <w:jc w:val="center"/>
        <w:rPr>
          <w:rFonts w:eastAsia="楷体_GB2312"/>
          <w:bCs/>
          <w:sz w:val="48"/>
          <w:szCs w:val="48"/>
        </w:rPr>
      </w:pPr>
    </w:p>
    <w:tbl>
      <w:tblPr>
        <w:tblStyle w:val="20"/>
        <w:tblW w:w="5000" w:type="pct"/>
        <w:jc w:val="center"/>
        <w:tblLayout w:type="autofit"/>
        <w:tblCellMar>
          <w:top w:w="0" w:type="dxa"/>
          <w:left w:w="0" w:type="dxa"/>
          <w:bottom w:w="0" w:type="dxa"/>
          <w:right w:w="0" w:type="dxa"/>
        </w:tblCellMar>
      </w:tblPr>
      <w:tblGrid>
        <w:gridCol w:w="2610"/>
        <w:gridCol w:w="5696"/>
      </w:tblGrid>
      <w:tr w14:paraId="3D394CE3">
        <w:tblPrEx>
          <w:tblCellMar>
            <w:top w:w="0" w:type="dxa"/>
            <w:left w:w="0" w:type="dxa"/>
            <w:bottom w:w="0" w:type="dxa"/>
            <w:right w:w="0" w:type="dxa"/>
          </w:tblCellMar>
        </w:tblPrEx>
        <w:trPr>
          <w:trHeight w:val="169" w:hRule="atLeast"/>
          <w:jc w:val="center"/>
        </w:trPr>
        <w:tc>
          <w:tcPr>
            <w:tcW w:w="1571" w:type="pct"/>
            <w:shd w:val="clear" w:color="auto" w:fill="auto"/>
            <w:vAlign w:val="center"/>
          </w:tcPr>
          <w:p w14:paraId="50477443">
            <w:pPr>
              <w:spacing w:line="480" w:lineRule="exact"/>
              <w:jc w:val="distribute"/>
              <w:rPr>
                <w:sz w:val="22"/>
                <w:szCs w:val="22"/>
              </w:rPr>
            </w:pPr>
            <w:r>
              <w:rPr>
                <w:rFonts w:eastAsia="微软雅黑"/>
                <w:sz w:val="32"/>
                <w:szCs w:val="32"/>
              </w:rPr>
              <w:t>项目名称：</w:t>
            </w:r>
          </w:p>
        </w:tc>
        <w:tc>
          <w:tcPr>
            <w:tcW w:w="3429" w:type="pct"/>
            <w:tcBorders>
              <w:bottom w:val="single" w:color="auto" w:sz="4" w:space="0"/>
            </w:tcBorders>
            <w:shd w:val="clear" w:color="auto" w:fill="auto"/>
            <w:vAlign w:val="center"/>
          </w:tcPr>
          <w:p w14:paraId="2D15ED31">
            <w:pPr>
              <w:spacing w:line="360" w:lineRule="exact"/>
              <w:jc w:val="center"/>
              <w:rPr>
                <w:rFonts w:eastAsia="仿宋"/>
                <w:sz w:val="36"/>
                <w:szCs w:val="36"/>
              </w:rPr>
            </w:pPr>
            <w:r>
              <w:rPr>
                <w:rFonts w:eastAsia="仿宋"/>
                <w:sz w:val="36"/>
                <w:szCs w:val="36"/>
              </w:rPr>
              <w:fldChar w:fldCharType="begin"/>
            </w:r>
            <w:r>
              <w:rPr>
                <w:rFonts w:eastAsia="仿宋"/>
                <w:sz w:val="36"/>
                <w:szCs w:val="36"/>
              </w:rPr>
              <w:instrText xml:space="preserve"> </w:instrText>
            </w:r>
            <w:r>
              <w:rPr>
                <w:rFonts w:hint="eastAsia" w:eastAsia="仿宋"/>
                <w:sz w:val="36"/>
                <w:szCs w:val="36"/>
              </w:rPr>
              <w:instrText xml:space="preserve">LINK </w:instrText>
            </w:r>
            <w:r>
              <w:rPr>
                <w:rFonts w:eastAsia="仿宋"/>
                <w:sz w:val="36"/>
                <w:szCs w:val="36"/>
              </w:rPr>
              <w:instrText xml:space="preserve">Excel.Sheet.12</w:instrText>
            </w:r>
            <w:r>
              <w:rPr>
                <w:rFonts w:hint="eastAsia" w:eastAsia="仿宋"/>
                <w:sz w:val="36"/>
                <w:szCs w:val="36"/>
              </w:rPr>
              <w:instrText xml:space="preserve"> E:\\茜-广西\\马来西亚中小企业项目\\报告编制\\马来西亚中小企业项目汇总.xlsx 基础信息!_ReportCell_0002 \t  \* MERGEFORMAT</w:instrText>
            </w:r>
            <w:r>
              <w:rPr>
                <w:rFonts w:eastAsia="仿宋"/>
                <w:sz w:val="36"/>
                <w:szCs w:val="36"/>
              </w:rPr>
              <w:instrText xml:space="preserve"> </w:instrText>
            </w:r>
            <w:r>
              <w:rPr>
                <w:rFonts w:eastAsia="仿宋"/>
                <w:sz w:val="36"/>
                <w:szCs w:val="36"/>
              </w:rPr>
              <w:fldChar w:fldCharType="separate"/>
            </w:r>
            <w:r>
              <w:rPr>
                <w:rFonts w:hint="eastAsia" w:eastAsia="仿宋"/>
                <w:b/>
                <w:bCs/>
                <w:sz w:val="36"/>
                <w:szCs w:val="36"/>
              </w:rPr>
              <w:t>马来西亚中小企业集聚区标准厂房及配套设施建设项目子项工程</w:t>
            </w:r>
            <w:r>
              <w:rPr>
                <w:rFonts w:eastAsia="仿宋"/>
                <w:sz w:val="36"/>
                <w:szCs w:val="36"/>
              </w:rPr>
              <w:fldChar w:fldCharType="end"/>
            </w:r>
          </w:p>
        </w:tc>
      </w:tr>
      <w:tr w14:paraId="62B936E2">
        <w:tblPrEx>
          <w:tblCellMar>
            <w:top w:w="0" w:type="dxa"/>
            <w:left w:w="0" w:type="dxa"/>
            <w:bottom w:w="0" w:type="dxa"/>
            <w:right w:w="0" w:type="dxa"/>
          </w:tblCellMar>
        </w:tblPrEx>
        <w:trPr>
          <w:trHeight w:val="575" w:hRule="atLeast"/>
          <w:jc w:val="center"/>
        </w:trPr>
        <w:tc>
          <w:tcPr>
            <w:tcW w:w="1571" w:type="pct"/>
            <w:shd w:val="clear" w:color="auto" w:fill="auto"/>
            <w:vAlign w:val="center"/>
          </w:tcPr>
          <w:p w14:paraId="5A47835E">
            <w:pPr>
              <w:spacing w:line="640" w:lineRule="exact"/>
              <w:jc w:val="distribute"/>
              <w:rPr>
                <w:sz w:val="22"/>
                <w:szCs w:val="22"/>
              </w:rPr>
            </w:pPr>
            <w:r>
              <w:rPr>
                <w:rFonts w:eastAsia="微软雅黑"/>
                <w:sz w:val="32"/>
                <w:szCs w:val="32"/>
              </w:rPr>
              <w:t>建设单位(盖章)：</w:t>
            </w:r>
          </w:p>
        </w:tc>
        <w:tc>
          <w:tcPr>
            <w:tcW w:w="3429" w:type="pct"/>
            <w:tcBorders>
              <w:top w:val="single" w:color="auto" w:sz="4" w:space="0"/>
              <w:bottom w:val="single" w:color="auto" w:sz="4" w:space="0"/>
            </w:tcBorders>
            <w:shd w:val="clear" w:color="auto" w:fill="auto"/>
            <w:vAlign w:val="center"/>
          </w:tcPr>
          <w:p w14:paraId="0487A45D">
            <w:pPr>
              <w:spacing w:line="360" w:lineRule="exact"/>
              <w:jc w:val="center"/>
              <w:rPr>
                <w:rFonts w:eastAsia="仿宋"/>
                <w:sz w:val="36"/>
                <w:szCs w:val="36"/>
              </w:rPr>
            </w:pPr>
            <w:r>
              <w:rPr>
                <w:rFonts w:eastAsia="仿宋"/>
                <w:sz w:val="36"/>
                <w:szCs w:val="36"/>
              </w:rPr>
              <w:fldChar w:fldCharType="begin"/>
            </w:r>
            <w:r>
              <w:rPr>
                <w:rFonts w:eastAsia="仿宋"/>
                <w:sz w:val="36"/>
                <w:szCs w:val="36"/>
              </w:rPr>
              <w:instrText xml:space="preserve"> </w:instrText>
            </w:r>
            <w:r>
              <w:rPr>
                <w:rFonts w:hint="eastAsia" w:eastAsia="仿宋"/>
                <w:sz w:val="36"/>
                <w:szCs w:val="36"/>
              </w:rPr>
              <w:instrText xml:space="preserve">LINK </w:instrText>
            </w:r>
            <w:r>
              <w:rPr>
                <w:rFonts w:eastAsia="仿宋"/>
                <w:sz w:val="36"/>
                <w:szCs w:val="36"/>
              </w:rPr>
              <w:instrText xml:space="preserve">Excel.Sheet.12</w:instrText>
            </w:r>
            <w:r>
              <w:rPr>
                <w:rFonts w:hint="eastAsia" w:eastAsia="仿宋"/>
                <w:sz w:val="36"/>
                <w:szCs w:val="36"/>
              </w:rPr>
              <w:instrText xml:space="preserve"> E:\\茜-广西\\马来西亚中小企业项目\\报告编制\\马来西亚中小企业项目汇总.xlsx 基础信息!_ReportCell_0001 \t  \* MERGEFORMAT</w:instrText>
            </w:r>
            <w:r>
              <w:rPr>
                <w:rFonts w:eastAsia="仿宋"/>
                <w:sz w:val="36"/>
                <w:szCs w:val="36"/>
              </w:rPr>
              <w:instrText xml:space="preserve"> </w:instrText>
            </w:r>
            <w:r>
              <w:rPr>
                <w:rFonts w:eastAsia="仿宋"/>
                <w:sz w:val="36"/>
                <w:szCs w:val="36"/>
              </w:rPr>
              <w:fldChar w:fldCharType="separate"/>
            </w:r>
            <w:r>
              <w:rPr>
                <w:rFonts w:hint="eastAsia" w:eastAsia="仿宋"/>
                <w:b/>
                <w:bCs/>
                <w:sz w:val="36"/>
                <w:szCs w:val="36"/>
              </w:rPr>
              <w:t>广西自由贸易试验区钦州港片区华互东恒投资咨询有限公司</w:t>
            </w:r>
            <w:r>
              <w:rPr>
                <w:rFonts w:eastAsia="仿宋"/>
                <w:sz w:val="36"/>
                <w:szCs w:val="36"/>
              </w:rPr>
              <w:fldChar w:fldCharType="end"/>
            </w:r>
          </w:p>
        </w:tc>
      </w:tr>
      <w:tr w14:paraId="16B316E6">
        <w:tblPrEx>
          <w:tblCellMar>
            <w:top w:w="0" w:type="dxa"/>
            <w:left w:w="0" w:type="dxa"/>
            <w:bottom w:w="0" w:type="dxa"/>
            <w:right w:w="0" w:type="dxa"/>
          </w:tblCellMar>
        </w:tblPrEx>
        <w:trPr>
          <w:jc w:val="center"/>
        </w:trPr>
        <w:tc>
          <w:tcPr>
            <w:tcW w:w="1571" w:type="pct"/>
            <w:shd w:val="clear" w:color="auto" w:fill="auto"/>
            <w:vAlign w:val="center"/>
          </w:tcPr>
          <w:p w14:paraId="767B77A8">
            <w:pPr>
              <w:spacing w:line="640" w:lineRule="exact"/>
              <w:jc w:val="distribute"/>
              <w:rPr>
                <w:sz w:val="22"/>
                <w:szCs w:val="22"/>
              </w:rPr>
            </w:pPr>
            <w:r>
              <w:rPr>
                <w:rFonts w:eastAsia="微软雅黑"/>
                <w:sz w:val="32"/>
                <w:szCs w:val="32"/>
              </w:rPr>
              <w:t>编制日期：</w:t>
            </w:r>
          </w:p>
        </w:tc>
        <w:tc>
          <w:tcPr>
            <w:tcW w:w="3429" w:type="pct"/>
            <w:tcBorders>
              <w:top w:val="single" w:color="auto" w:sz="4" w:space="0"/>
              <w:bottom w:val="single" w:color="auto" w:sz="4" w:space="0"/>
            </w:tcBorders>
            <w:shd w:val="clear" w:color="auto" w:fill="auto"/>
            <w:vAlign w:val="center"/>
          </w:tcPr>
          <w:p w14:paraId="79AA5606">
            <w:pPr>
              <w:spacing w:line="640" w:lineRule="exact"/>
              <w:jc w:val="center"/>
              <w:rPr>
                <w:rFonts w:eastAsia="仿宋"/>
                <w:sz w:val="36"/>
                <w:szCs w:val="36"/>
              </w:rPr>
            </w:pPr>
            <w:r>
              <w:rPr>
                <w:rFonts w:eastAsia="仿宋"/>
                <w:sz w:val="36"/>
                <w:szCs w:val="36"/>
              </w:rPr>
              <w:fldChar w:fldCharType="begin"/>
            </w:r>
            <w:r>
              <w:rPr>
                <w:rFonts w:eastAsia="仿宋"/>
                <w:sz w:val="36"/>
                <w:szCs w:val="36"/>
              </w:rPr>
              <w:instrText xml:space="preserve"> </w:instrText>
            </w:r>
            <w:r>
              <w:rPr>
                <w:rFonts w:hint="eastAsia" w:eastAsia="仿宋"/>
                <w:sz w:val="36"/>
                <w:szCs w:val="36"/>
              </w:rPr>
              <w:instrText xml:space="preserve">TIME \@ "yyyy年M月"</w:instrText>
            </w:r>
            <w:r>
              <w:rPr>
                <w:rFonts w:eastAsia="仿宋"/>
                <w:sz w:val="36"/>
                <w:szCs w:val="36"/>
              </w:rPr>
              <w:instrText xml:space="preserve"> </w:instrText>
            </w:r>
            <w:r>
              <w:rPr>
                <w:rFonts w:eastAsia="仿宋"/>
                <w:sz w:val="36"/>
                <w:szCs w:val="36"/>
              </w:rPr>
              <w:fldChar w:fldCharType="separate"/>
            </w:r>
            <w:r>
              <w:rPr>
                <w:rFonts w:hint="eastAsia" w:eastAsia="仿宋"/>
                <w:sz w:val="36"/>
                <w:szCs w:val="36"/>
              </w:rPr>
              <w:t>2025年3月</w:t>
            </w:r>
            <w:r>
              <w:rPr>
                <w:rFonts w:eastAsia="仿宋"/>
                <w:sz w:val="36"/>
                <w:szCs w:val="36"/>
              </w:rPr>
              <w:fldChar w:fldCharType="end"/>
            </w:r>
          </w:p>
        </w:tc>
      </w:tr>
    </w:tbl>
    <w:p w14:paraId="6F822CA0">
      <w:pPr>
        <w:adjustRightInd w:val="0"/>
        <w:snapToGrid w:val="0"/>
        <w:spacing w:line="288" w:lineRule="auto"/>
        <w:jc w:val="center"/>
        <w:rPr>
          <w:rFonts w:eastAsia="华文楷体" w:cs="华文楷体"/>
          <w:sz w:val="36"/>
          <w:szCs w:val="36"/>
        </w:rPr>
      </w:pPr>
    </w:p>
    <w:p w14:paraId="2FE8092B">
      <w:pPr>
        <w:adjustRightInd w:val="0"/>
        <w:snapToGrid w:val="0"/>
        <w:spacing w:line="288" w:lineRule="auto"/>
        <w:jc w:val="center"/>
        <w:rPr>
          <w:rFonts w:eastAsia="华文楷体" w:cs="华文楷体"/>
          <w:sz w:val="36"/>
          <w:szCs w:val="36"/>
        </w:rPr>
        <w:sectPr>
          <w:footerReference r:id="rId3" w:type="default"/>
          <w:pgSz w:w="11906" w:h="16838"/>
          <w:pgMar w:top="1440" w:right="1800" w:bottom="1440" w:left="1800" w:header="851" w:footer="1077" w:gutter="0"/>
          <w:pgNumType w:start="1"/>
          <w:cols w:space="720" w:num="1"/>
          <w:docGrid w:linePitch="312" w:charSpace="0"/>
        </w:sectPr>
      </w:pPr>
      <w:r>
        <w:rPr>
          <w:rFonts w:hint="eastAsia" w:eastAsia="华文楷体" w:cs="华文楷体"/>
          <w:sz w:val="36"/>
          <w:szCs w:val="36"/>
        </w:rPr>
        <w:t>中华人民共和国生态环境部制</w:t>
      </w:r>
    </w:p>
    <w:p w14:paraId="46B9D834">
      <w:pPr>
        <w:pStyle w:val="49"/>
        <w:outlineLvl w:val="0"/>
      </w:pPr>
      <w:bookmarkStart w:id="0" w:name="_Hlk192626800"/>
      <w:r>
        <w:rPr>
          <w:rFonts w:hint="eastAsia"/>
        </w:rPr>
        <w:t>专家意见回应一览表</w:t>
      </w:r>
    </w:p>
    <w:tbl>
      <w:tblPr>
        <w:tblStyle w:val="5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567"/>
        <w:gridCol w:w="4536"/>
        <w:gridCol w:w="3731"/>
      </w:tblGrid>
      <w:tr w14:paraId="0331DC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567" w:type="dxa"/>
            <w:tcBorders>
              <w:top w:val="single" w:color="auto" w:sz="12" w:space="0"/>
              <w:left w:val="nil"/>
              <w:bottom w:val="single" w:color="auto" w:sz="12" w:space="0"/>
              <w:right w:val="single" w:color="auto" w:sz="4" w:space="0"/>
              <w:insideH w:val="single" w:sz="12" w:space="0"/>
              <w:insideV w:val="single" w:sz="4" w:space="0"/>
              <w:tl2br w:val="nil"/>
              <w:tr2bl w:val="nil"/>
            </w:tcBorders>
            <w:vAlign w:val="center"/>
          </w:tcPr>
          <w:p w14:paraId="4E3DCB66">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z w:val="21"/>
                <w:szCs w:val="21"/>
                <w14:ligatures w14:val="standardContextual"/>
              </w:rPr>
            </w:pPr>
            <w:r>
              <w:rPr>
                <w:rFonts w:hint="eastAsia" w:ascii="Times New Roman" w:hAnsi="Times New Roman" w:eastAsia="宋体" w:cs="Times New Roman"/>
                <w:b/>
                <w:i w:val="0"/>
                <w:sz w:val="21"/>
                <w:szCs w:val="21"/>
                <w14:ligatures w14:val="standardContextual"/>
              </w:rPr>
              <w:t>序号</w:t>
            </w:r>
          </w:p>
        </w:tc>
        <w:tc>
          <w:tcPr>
            <w:tcW w:w="4536" w:type="dxa"/>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33B0E8F0">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z w:val="21"/>
                <w:szCs w:val="21"/>
                <w14:ligatures w14:val="standardContextual"/>
              </w:rPr>
            </w:pPr>
            <w:r>
              <w:rPr>
                <w:rFonts w:hint="eastAsia" w:ascii="Times New Roman" w:hAnsi="Times New Roman" w:eastAsia="宋体" w:cs="Times New Roman"/>
                <w:b/>
                <w:i w:val="0"/>
                <w:sz w:val="21"/>
                <w:szCs w:val="21"/>
                <w14:ligatures w14:val="standardContextual"/>
              </w:rPr>
              <w:t>专家意见</w:t>
            </w:r>
          </w:p>
        </w:tc>
        <w:tc>
          <w:tcPr>
            <w:tcW w:w="3731" w:type="dxa"/>
            <w:tcBorders>
              <w:top w:val="single" w:color="auto" w:sz="12" w:space="0"/>
              <w:bottom w:val="single" w:color="auto" w:sz="12" w:space="0"/>
              <w:right w:val="nil"/>
              <w:insideH w:val="single" w:sz="12" w:space="0"/>
              <w:insideV w:val="single" w:sz="4" w:space="0"/>
              <w:tl2br w:val="nil"/>
              <w:tr2bl w:val="nil"/>
            </w:tcBorders>
            <w:vAlign w:val="center"/>
          </w:tcPr>
          <w:p w14:paraId="24E513B5">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z w:val="21"/>
                <w:szCs w:val="21"/>
                <w14:ligatures w14:val="standardContextual"/>
              </w:rPr>
            </w:pPr>
            <w:r>
              <w:rPr>
                <w:rFonts w:hint="eastAsia" w:ascii="Times New Roman" w:hAnsi="Times New Roman" w:eastAsia="宋体" w:cs="Times New Roman"/>
                <w:b/>
                <w:i w:val="0"/>
                <w:sz w:val="21"/>
                <w:szCs w:val="21"/>
                <w14:ligatures w14:val="standardContextual"/>
              </w:rPr>
              <w:t>修改说明</w:t>
            </w:r>
          </w:p>
        </w:tc>
      </w:tr>
      <w:tr w14:paraId="7CAD2E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567" w:type="dxa"/>
            <w:vMerge w:val="restart"/>
            <w:vAlign w:val="center"/>
          </w:tcPr>
          <w:p w14:paraId="2AE10022">
            <w:pPr>
              <w:widowControl w:val="0"/>
              <w:overflowPunct w:val="0"/>
              <w:autoSpaceDE w:val="0"/>
              <w:autoSpaceDN w:val="0"/>
              <w:snapToGrid w:val="0"/>
              <w:jc w:val="center"/>
              <w:rPr>
                <w14:ligatures w14:val="standardContextual"/>
              </w:rPr>
            </w:pPr>
            <w:r>
              <w:rPr>
                <w:rFonts w:hint="eastAsia"/>
                <w14:ligatures w14:val="standardContextual"/>
              </w:rPr>
              <w:t>1</w:t>
            </w:r>
          </w:p>
        </w:tc>
        <w:tc>
          <w:tcPr>
            <w:tcW w:w="4536" w:type="dxa"/>
            <w:vAlign w:val="center"/>
          </w:tcPr>
          <w:p w14:paraId="14CEF259">
            <w:pPr>
              <w:widowControl w:val="0"/>
              <w:overflowPunct w:val="0"/>
              <w:autoSpaceDE w:val="0"/>
              <w:autoSpaceDN w:val="0"/>
              <w:snapToGrid w:val="0"/>
              <w:jc w:val="center"/>
              <w:rPr>
                <w14:ligatures w14:val="standardContextual"/>
              </w:rPr>
            </w:pPr>
            <w:r>
              <w:rPr>
                <w:rFonts w:hint="eastAsia"/>
                <w14:ligatures w14:val="standardContextual"/>
              </w:rPr>
              <w:t>1、核实项目的建设性质，补充现有工程、依托工程内容，核实仓储系统营运货种介绍，</w:t>
            </w:r>
          </w:p>
        </w:tc>
        <w:tc>
          <w:tcPr>
            <w:tcW w:w="3731" w:type="dxa"/>
            <w:vAlign w:val="center"/>
          </w:tcPr>
          <w:p w14:paraId="6233EA37">
            <w:pPr>
              <w:widowControl w:val="0"/>
              <w:overflowPunct w:val="0"/>
              <w:autoSpaceDE w:val="0"/>
              <w:autoSpaceDN w:val="0"/>
              <w:snapToGrid w:val="0"/>
              <w:jc w:val="center"/>
              <w:rPr>
                <w14:ligatures w14:val="standardContextual"/>
              </w:rPr>
            </w:pPr>
            <w:r>
              <w:rPr>
                <w:rFonts w:hint="eastAsia"/>
                <w14:ligatures w14:val="standardContextual"/>
              </w:rPr>
              <w:t>已修订建设性质为“技术改造”，见P</w:t>
            </w:r>
            <w:r>
              <w:rPr>
                <w14:ligatures w14:val="standardContextual"/>
              </w:rPr>
              <w:fldChar w:fldCharType="begin"/>
            </w:r>
            <w:r>
              <w:rPr>
                <w14:ligatures w14:val="standardContextual"/>
              </w:rPr>
              <w:instrText xml:space="preserve"> </w:instrText>
            </w:r>
            <w:r>
              <w:rPr>
                <w:rFonts w:hint="eastAsia"/>
                <w14:ligatures w14:val="standardContextual"/>
              </w:rPr>
              <w:instrText xml:space="preserve">PAGEREF _Ref192707971 \h</w:instrText>
            </w:r>
            <w:r>
              <w:rPr>
                <w14:ligatures w14:val="standardContextual"/>
              </w:rPr>
              <w:instrText xml:space="preserve"> </w:instrText>
            </w:r>
            <w:r>
              <w:rPr>
                <w14:ligatures w14:val="standardContextual"/>
              </w:rPr>
              <w:fldChar w:fldCharType="separate"/>
            </w:r>
            <w:r>
              <w:rPr>
                <w14:ligatures w14:val="standardContextual"/>
              </w:rPr>
              <w:t>1</w:t>
            </w:r>
            <w:r>
              <w:rPr>
                <w14:ligatures w14:val="standardContextual"/>
              </w:rPr>
              <w:fldChar w:fldCharType="end"/>
            </w:r>
            <w:r>
              <w:rPr>
                <w:rFonts w:hint="eastAsia"/>
                <w14:ligatures w14:val="standardContextual"/>
              </w:rPr>
              <w:t>；已补充现有工程描述，见P</w:t>
            </w:r>
            <w:r>
              <w:rPr>
                <w14:ligatures w14:val="standardContextual"/>
              </w:rPr>
              <w:fldChar w:fldCharType="begin"/>
            </w:r>
            <w:r>
              <w:rPr>
                <w14:ligatures w14:val="standardContextual"/>
              </w:rPr>
              <w:instrText xml:space="preserve"> </w:instrText>
            </w:r>
            <w:r>
              <w:rPr>
                <w:rFonts w:hint="eastAsia"/>
                <w14:ligatures w14:val="standardContextual"/>
              </w:rPr>
              <w:instrText xml:space="preserve">PAGEREF 与项目有关的原有环境污染问题 \h</w:instrText>
            </w:r>
            <w:r>
              <w:rPr>
                <w14:ligatures w14:val="standardContextual"/>
              </w:rPr>
              <w:instrText xml:space="preserve"> </w:instrText>
            </w:r>
            <w:r>
              <w:rPr>
                <w14:ligatures w14:val="standardContextual"/>
              </w:rPr>
              <w:fldChar w:fldCharType="separate"/>
            </w:r>
            <w:r>
              <w:rPr>
                <w14:ligatures w14:val="standardContextual"/>
              </w:rPr>
              <w:t>23</w:t>
            </w:r>
            <w:r>
              <w:rPr>
                <w14:ligatures w14:val="standardContextual"/>
              </w:rPr>
              <w:fldChar w:fldCharType="end"/>
            </w:r>
            <w:r>
              <w:rPr>
                <w:rFonts w:hint="eastAsia"/>
                <w14:ligatures w14:val="standardContextual"/>
              </w:rPr>
              <w:t>。已核实仓储工程，不涉及营运货种，见P</w:t>
            </w:r>
            <w:r>
              <w:rPr>
                <w14:ligatures w14:val="standardContextual"/>
              </w:rPr>
              <w:fldChar w:fldCharType="begin"/>
            </w:r>
            <w:r>
              <w:rPr>
                <w14:ligatures w14:val="standardContextual"/>
              </w:rPr>
              <w:instrText xml:space="preserve"> </w:instrText>
            </w:r>
            <w:r>
              <w:rPr>
                <w:rFonts w:hint="eastAsia"/>
                <w14:ligatures w14:val="standardContextual"/>
              </w:rPr>
              <w:instrText xml:space="preserve">PAGEREF _Ref176965472 \h</w:instrText>
            </w:r>
            <w:r>
              <w:rPr>
                <w14:ligatures w14:val="standardContextual"/>
              </w:rPr>
              <w:instrText xml:space="preserve"> </w:instrText>
            </w:r>
            <w:r>
              <w:rPr>
                <w14:ligatures w14:val="standardContextual"/>
              </w:rPr>
              <w:fldChar w:fldCharType="separate"/>
            </w:r>
            <w:r>
              <w:rPr>
                <w14:ligatures w14:val="standardContextual"/>
              </w:rPr>
              <w:t>10</w:t>
            </w:r>
            <w:r>
              <w:rPr>
                <w14:ligatures w14:val="standardContextual"/>
              </w:rPr>
              <w:fldChar w:fldCharType="end"/>
            </w:r>
            <w:r>
              <w:rPr>
                <w:rFonts w:hint="eastAsia"/>
                <w14:ligatures w14:val="standardContextual"/>
              </w:rPr>
              <w:t>。</w:t>
            </w:r>
          </w:p>
        </w:tc>
      </w:tr>
      <w:tr w14:paraId="6F57A5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567" w:type="dxa"/>
            <w:vMerge w:val="continue"/>
            <w:vAlign w:val="center"/>
          </w:tcPr>
          <w:p w14:paraId="1ADADB66">
            <w:pPr>
              <w:widowControl w:val="0"/>
              <w:overflowPunct w:val="0"/>
              <w:autoSpaceDE w:val="0"/>
              <w:autoSpaceDN w:val="0"/>
              <w:snapToGrid w:val="0"/>
              <w:jc w:val="center"/>
              <w:rPr>
                <w14:ligatures w14:val="standardContextual"/>
              </w:rPr>
            </w:pPr>
          </w:p>
        </w:tc>
        <w:tc>
          <w:tcPr>
            <w:tcW w:w="4536" w:type="dxa"/>
            <w:vAlign w:val="center"/>
          </w:tcPr>
          <w:p w14:paraId="591F9CC3">
            <w:pPr>
              <w:widowControl w:val="0"/>
              <w:overflowPunct w:val="0"/>
              <w:autoSpaceDE w:val="0"/>
              <w:autoSpaceDN w:val="0"/>
              <w:snapToGrid w:val="0"/>
              <w:jc w:val="center"/>
              <w:rPr>
                <w14:ligatures w14:val="standardContextual"/>
              </w:rPr>
            </w:pPr>
            <w:r>
              <w:rPr>
                <w:rFonts w:hint="eastAsia"/>
                <w14:ligatures w14:val="standardContextual"/>
              </w:rPr>
              <w:t>完善各子项目工程内容介绍（如装饰装修工程用到多少原辅材料、光伏发电工程包括采用单晶规格、多少个发电单元、箱变、集电线路等内容、场地硬化工程用多少水泥或环保砖等等）；</w:t>
            </w:r>
          </w:p>
        </w:tc>
        <w:tc>
          <w:tcPr>
            <w:tcW w:w="3731" w:type="dxa"/>
            <w:vAlign w:val="center"/>
          </w:tcPr>
          <w:p w14:paraId="2CCDD456">
            <w:pPr>
              <w:widowControl w:val="0"/>
              <w:overflowPunct w:val="0"/>
              <w:autoSpaceDE w:val="0"/>
              <w:autoSpaceDN w:val="0"/>
              <w:snapToGrid w:val="0"/>
              <w:jc w:val="center"/>
              <w:rPr>
                <w14:ligatures w14:val="standardContextual"/>
              </w:rPr>
            </w:pPr>
            <w:r>
              <w:rPr>
                <w:rFonts w:hint="eastAsia"/>
                <w14:ligatures w14:val="standardContextual"/>
              </w:rPr>
              <w:t>已完善子项目工程内容，</w:t>
            </w:r>
            <w:bookmarkStart w:id="1" w:name="OLE_LINK82"/>
            <w:r>
              <w:rPr>
                <w:rFonts w:hint="eastAsia"/>
                <w14:ligatures w14:val="standardContextual"/>
              </w:rPr>
              <w:t>见P</w:t>
            </w:r>
            <w:r>
              <w:rPr>
                <w14:ligatures w14:val="standardContextual"/>
              </w:rPr>
              <w:fldChar w:fldCharType="begin"/>
            </w:r>
            <w:r>
              <w:rPr>
                <w14:ligatures w14:val="standardContextual"/>
              </w:rPr>
              <w:instrText xml:space="preserve"> </w:instrText>
            </w:r>
            <w:r>
              <w:rPr>
                <w:rFonts w:hint="eastAsia"/>
                <w14:ligatures w14:val="standardContextual"/>
              </w:rPr>
              <w:instrText xml:space="preserve">PAGEREF 一、施工期工艺流程 \h</w:instrText>
            </w:r>
            <w:r>
              <w:rPr>
                <w14:ligatures w14:val="standardContextual"/>
              </w:rPr>
              <w:instrText xml:space="preserve"> </w:instrText>
            </w:r>
            <w:r>
              <w:rPr>
                <w14:ligatures w14:val="standardContextual"/>
              </w:rPr>
              <w:fldChar w:fldCharType="separate"/>
            </w:r>
            <w:r>
              <w:rPr>
                <w14:ligatures w14:val="standardContextual"/>
              </w:rPr>
              <w:t>16</w:t>
            </w:r>
            <w:r>
              <w:rPr>
                <w14:ligatures w14:val="standardContextual"/>
              </w:rPr>
              <w:fldChar w:fldCharType="end"/>
            </w:r>
            <w:bookmarkEnd w:id="1"/>
            <w:r>
              <w:rPr>
                <w:rFonts w:hint="eastAsia"/>
                <w14:ligatures w14:val="standardContextual"/>
              </w:rPr>
              <w:t>，补充施工物料用量。</w:t>
            </w:r>
            <w:bookmarkStart w:id="2" w:name="OLE_LINK87"/>
            <w:r>
              <w:rPr>
                <w:rFonts w:hint="eastAsia"/>
                <w14:ligatures w14:val="standardContextual"/>
              </w:rPr>
              <w:t>光伏发电工程另行评价</w:t>
            </w:r>
            <w:bookmarkEnd w:id="2"/>
            <w:r>
              <w:rPr>
                <w:rFonts w:hint="eastAsia"/>
                <w14:ligatures w14:val="standardContextual"/>
              </w:rPr>
              <w:t>，</w:t>
            </w:r>
            <w:bookmarkStart w:id="3" w:name="OLE_LINK88"/>
            <w:r>
              <w:rPr>
                <w:rFonts w:hint="eastAsia"/>
                <w14:ligatures w14:val="standardContextual"/>
              </w:rPr>
              <w:t>见P</w:t>
            </w:r>
            <w:r>
              <w:rPr>
                <w14:ligatures w14:val="standardContextual"/>
              </w:rPr>
              <w:fldChar w:fldCharType="begin"/>
            </w:r>
            <w:r>
              <w:rPr>
                <w14:ligatures w14:val="standardContextual"/>
              </w:rPr>
              <w:instrText xml:space="preserve"> </w:instrText>
            </w:r>
            <w:r>
              <w:rPr>
                <w:rFonts w:hint="eastAsia"/>
                <w14:ligatures w14:val="standardContextual"/>
              </w:rPr>
              <w:instrText xml:space="preserve">PAGEREF _Ref176965472 \h</w:instrText>
            </w:r>
            <w:r>
              <w:rPr>
                <w14:ligatures w14:val="standardContextual"/>
              </w:rPr>
              <w:instrText xml:space="preserve"> </w:instrText>
            </w:r>
            <w:r>
              <w:rPr>
                <w14:ligatures w14:val="standardContextual"/>
              </w:rPr>
              <w:fldChar w:fldCharType="separate"/>
            </w:r>
            <w:r>
              <w:rPr>
                <w14:ligatures w14:val="standardContextual"/>
              </w:rPr>
              <w:t>10</w:t>
            </w:r>
            <w:r>
              <w:rPr>
                <w14:ligatures w14:val="standardContextual"/>
              </w:rPr>
              <w:fldChar w:fldCharType="end"/>
            </w:r>
            <w:r>
              <w:rPr>
                <w:rFonts w:hint="eastAsia"/>
                <w14:ligatures w14:val="standardContextual"/>
              </w:rPr>
              <w:t>。</w:t>
            </w:r>
            <w:bookmarkEnd w:id="3"/>
          </w:p>
        </w:tc>
      </w:tr>
      <w:tr w14:paraId="501F9F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567" w:type="dxa"/>
            <w:vMerge w:val="continue"/>
            <w:vAlign w:val="center"/>
          </w:tcPr>
          <w:p w14:paraId="107543E5">
            <w:pPr>
              <w:widowControl w:val="0"/>
              <w:overflowPunct w:val="0"/>
              <w:autoSpaceDE w:val="0"/>
              <w:autoSpaceDN w:val="0"/>
              <w:snapToGrid w:val="0"/>
              <w:jc w:val="center"/>
              <w:rPr>
                <w14:ligatures w14:val="standardContextual"/>
              </w:rPr>
            </w:pPr>
          </w:p>
        </w:tc>
        <w:tc>
          <w:tcPr>
            <w:tcW w:w="4536" w:type="dxa"/>
            <w:vAlign w:val="center"/>
          </w:tcPr>
          <w:p w14:paraId="7DBA6FBF">
            <w:pPr>
              <w:widowControl w:val="0"/>
              <w:overflowPunct w:val="0"/>
              <w:autoSpaceDE w:val="0"/>
              <w:autoSpaceDN w:val="0"/>
              <w:snapToGrid w:val="0"/>
              <w:jc w:val="center"/>
              <w:rPr>
                <w14:ligatures w14:val="standardContextual"/>
              </w:rPr>
            </w:pPr>
            <w:r>
              <w:rPr>
                <w:rFonts w:hint="eastAsia"/>
                <w14:ligatures w14:val="standardContextual"/>
              </w:rPr>
              <w:t>补充各子项目施工期环保措施，完善营运期环保工程内容；</w:t>
            </w:r>
          </w:p>
        </w:tc>
        <w:tc>
          <w:tcPr>
            <w:tcW w:w="3731" w:type="dxa"/>
            <w:vAlign w:val="center"/>
          </w:tcPr>
          <w:p w14:paraId="745DDE21">
            <w:pPr>
              <w:widowControl w:val="0"/>
              <w:overflowPunct w:val="0"/>
              <w:autoSpaceDE w:val="0"/>
              <w:autoSpaceDN w:val="0"/>
              <w:snapToGrid w:val="0"/>
              <w:jc w:val="center"/>
              <w:rPr>
                <w14:ligatures w14:val="standardContextual"/>
              </w:rPr>
            </w:pPr>
            <w:r>
              <w:rPr>
                <w:rFonts w:hint="eastAsia"/>
                <w14:ligatures w14:val="standardContextual"/>
              </w:rPr>
              <w:t>已完善施工期环境保护措施，见P</w:t>
            </w:r>
            <w:r>
              <w:rPr>
                <w14:ligatures w14:val="standardContextual"/>
              </w:rPr>
              <w:fldChar w:fldCharType="begin"/>
            </w:r>
            <w:r>
              <w:rPr>
                <w14:ligatures w14:val="standardContextual"/>
              </w:rPr>
              <w:instrText xml:space="preserve"> </w:instrText>
            </w:r>
            <w:r>
              <w:rPr>
                <w:rFonts w:hint="eastAsia"/>
                <w14:ligatures w14:val="standardContextual"/>
              </w:rPr>
              <w:instrText xml:space="preserve">PAGEREF 施工期环境保护措施 \h</w:instrText>
            </w:r>
            <w:r>
              <w:rPr>
                <w14:ligatures w14:val="standardContextual"/>
              </w:rPr>
              <w:instrText xml:space="preserve"> </w:instrText>
            </w:r>
            <w:r>
              <w:rPr>
                <w14:ligatures w14:val="standardContextual"/>
              </w:rPr>
              <w:fldChar w:fldCharType="separate"/>
            </w:r>
            <w:r>
              <w:rPr>
                <w14:ligatures w14:val="standardContextual"/>
              </w:rPr>
              <w:t>29</w:t>
            </w:r>
            <w:r>
              <w:rPr>
                <w14:ligatures w14:val="standardContextual"/>
              </w:rPr>
              <w:fldChar w:fldCharType="end"/>
            </w:r>
            <w:r>
              <w:rPr>
                <w:rFonts w:hint="eastAsia"/>
                <w14:ligatures w14:val="standardContextual"/>
              </w:rPr>
              <w:t>。营运期环保措施修改为“多管旋风除尘”，见P</w:t>
            </w:r>
            <w:r>
              <w:rPr>
                <w14:ligatures w14:val="standardContextual"/>
              </w:rPr>
              <w:fldChar w:fldCharType="begin"/>
            </w:r>
            <w:r>
              <w:rPr>
                <w14:ligatures w14:val="standardContextual"/>
              </w:rPr>
              <w:instrText xml:space="preserve"> </w:instrText>
            </w:r>
            <w:r>
              <w:rPr>
                <w:rFonts w:hint="eastAsia"/>
                <w14:ligatures w14:val="standardContextual"/>
              </w:rPr>
              <w:instrText xml:space="preserve">PAGEREF _Ref176880438 \h</w:instrText>
            </w:r>
            <w:r>
              <w:rPr>
                <w14:ligatures w14:val="standardContextual"/>
              </w:rPr>
              <w:instrText xml:space="preserve"> </w:instrText>
            </w:r>
            <w:r>
              <w:rPr>
                <w14:ligatures w14:val="standardContextual"/>
              </w:rPr>
              <w:fldChar w:fldCharType="separate"/>
            </w:r>
            <w:r>
              <w:rPr>
                <w14:ligatures w14:val="standardContextual"/>
              </w:rPr>
              <w:t>32</w:t>
            </w:r>
            <w:r>
              <w:rPr>
                <w14:ligatures w14:val="standardContextual"/>
              </w:rPr>
              <w:fldChar w:fldCharType="end"/>
            </w:r>
            <w:r>
              <w:rPr>
                <w:rFonts w:hint="eastAsia"/>
                <w14:ligatures w14:val="standardContextual"/>
              </w:rPr>
              <w:t>。</w:t>
            </w:r>
          </w:p>
        </w:tc>
      </w:tr>
      <w:tr w14:paraId="2B9F14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567" w:type="dxa"/>
            <w:vMerge w:val="continue"/>
            <w:vAlign w:val="center"/>
          </w:tcPr>
          <w:p w14:paraId="68495418">
            <w:pPr>
              <w:widowControl w:val="0"/>
              <w:overflowPunct w:val="0"/>
              <w:autoSpaceDE w:val="0"/>
              <w:autoSpaceDN w:val="0"/>
              <w:snapToGrid w:val="0"/>
              <w:jc w:val="center"/>
              <w:rPr>
                <w14:ligatures w14:val="standardContextual"/>
              </w:rPr>
            </w:pPr>
          </w:p>
        </w:tc>
        <w:tc>
          <w:tcPr>
            <w:tcW w:w="4536" w:type="dxa"/>
            <w:vAlign w:val="center"/>
          </w:tcPr>
          <w:p w14:paraId="602C1CD8">
            <w:pPr>
              <w:widowControl w:val="0"/>
              <w:overflowPunct w:val="0"/>
              <w:autoSpaceDE w:val="0"/>
              <w:autoSpaceDN w:val="0"/>
              <w:snapToGrid w:val="0"/>
              <w:jc w:val="center"/>
              <w:rPr>
                <w14:ligatures w14:val="standardContextual"/>
              </w:rPr>
            </w:pPr>
            <w:r>
              <w:rPr>
                <w:rFonts w:hint="eastAsia"/>
                <w14:ligatures w14:val="standardContextual"/>
              </w:rPr>
              <w:t>核实蒸汽</w:t>
            </w:r>
            <w:bookmarkStart w:id="4" w:name="OLE_LINK80"/>
            <w:r>
              <w:rPr>
                <w:rFonts w:hint="eastAsia"/>
                <w14:ligatures w14:val="standardContextual"/>
              </w:rPr>
              <w:t>管道敷设</w:t>
            </w:r>
            <w:bookmarkEnd w:id="4"/>
            <w:r>
              <w:rPr>
                <w:rFonts w:hint="eastAsia"/>
                <w14:ligatures w14:val="standardContextual"/>
              </w:rPr>
              <w:t>方式，分析其合理性。</w:t>
            </w:r>
          </w:p>
        </w:tc>
        <w:tc>
          <w:tcPr>
            <w:tcW w:w="3731" w:type="dxa"/>
            <w:vAlign w:val="center"/>
          </w:tcPr>
          <w:p w14:paraId="175B7B8A">
            <w:pPr>
              <w:widowControl w:val="0"/>
              <w:overflowPunct w:val="0"/>
              <w:autoSpaceDE w:val="0"/>
              <w:autoSpaceDN w:val="0"/>
              <w:snapToGrid w:val="0"/>
              <w:jc w:val="center"/>
              <w:rPr>
                <w14:ligatures w14:val="standardContextual"/>
              </w:rPr>
            </w:pPr>
            <w:r>
              <w:rPr>
                <w:rFonts w:hint="eastAsia"/>
                <w14:ligatures w14:val="standardContextual"/>
              </w:rPr>
              <w:t>已补充</w:t>
            </w:r>
            <w:bookmarkStart w:id="5" w:name="OLE_LINK86"/>
            <w:r>
              <w:rPr>
                <w:rFonts w:hint="eastAsia"/>
                <w14:ligatures w14:val="standardContextual"/>
              </w:rPr>
              <w:t>附件7</w:t>
            </w:r>
            <w:bookmarkEnd w:id="5"/>
            <w:r>
              <w:rPr>
                <w:rFonts w:hint="eastAsia"/>
                <w14:ligatures w14:val="standardContextual"/>
              </w:rPr>
              <w:t>，供热管道路由复函。管道敷设方式修改为</w:t>
            </w:r>
            <w:bookmarkStart w:id="6" w:name="OLE_LINK84"/>
            <w:r>
              <w:rPr>
                <w:rFonts w:hint="eastAsia"/>
                <w14:ligatures w14:val="standardContextual"/>
              </w:rPr>
              <w:t>低</w:t>
            </w:r>
            <w:bookmarkEnd w:id="6"/>
            <w:r>
              <w:rPr>
                <w:rFonts w:hint="eastAsia"/>
                <w14:ligatures w14:val="standardContextual"/>
              </w:rPr>
              <w:t>架空敷设。</w:t>
            </w:r>
          </w:p>
        </w:tc>
      </w:tr>
      <w:tr w14:paraId="0328DB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567" w:type="dxa"/>
            <w:vMerge w:val="restart"/>
            <w:vAlign w:val="center"/>
          </w:tcPr>
          <w:p w14:paraId="10D9DC03">
            <w:pPr>
              <w:widowControl w:val="0"/>
              <w:overflowPunct w:val="0"/>
              <w:autoSpaceDE w:val="0"/>
              <w:autoSpaceDN w:val="0"/>
              <w:snapToGrid w:val="0"/>
              <w:jc w:val="center"/>
              <w:rPr>
                <w14:ligatures w14:val="standardContextual"/>
              </w:rPr>
            </w:pPr>
            <w:r>
              <w:rPr>
                <w:rFonts w:hint="eastAsia"/>
                <w14:ligatures w14:val="standardContextual"/>
              </w:rPr>
              <w:t>2</w:t>
            </w:r>
          </w:p>
        </w:tc>
        <w:tc>
          <w:tcPr>
            <w:tcW w:w="4536" w:type="dxa"/>
            <w:vAlign w:val="center"/>
          </w:tcPr>
          <w:p w14:paraId="10DA0801">
            <w:pPr>
              <w:widowControl w:val="0"/>
              <w:overflowPunct w:val="0"/>
              <w:autoSpaceDE w:val="0"/>
              <w:autoSpaceDN w:val="0"/>
              <w:snapToGrid w:val="0"/>
              <w:jc w:val="center"/>
              <w:rPr>
                <w14:ligatures w14:val="standardContextual"/>
              </w:rPr>
            </w:pPr>
            <w:r>
              <w:rPr>
                <w:rFonts w:hint="eastAsia"/>
                <w14:ligatures w14:val="standardContextual"/>
              </w:rPr>
              <w:t>2、补充、细化各子项目施工工艺流程和产排污节点分析；</w:t>
            </w:r>
          </w:p>
        </w:tc>
        <w:tc>
          <w:tcPr>
            <w:tcW w:w="3731" w:type="dxa"/>
            <w:vAlign w:val="center"/>
          </w:tcPr>
          <w:p w14:paraId="1771C896">
            <w:pPr>
              <w:widowControl w:val="0"/>
              <w:overflowPunct w:val="0"/>
              <w:autoSpaceDE w:val="0"/>
              <w:autoSpaceDN w:val="0"/>
              <w:snapToGrid w:val="0"/>
              <w:jc w:val="center"/>
              <w:rPr>
                <w14:ligatures w14:val="standardContextual"/>
              </w:rPr>
            </w:pPr>
            <w:r>
              <w:rPr>
                <w:rFonts w:hint="eastAsia"/>
                <w14:ligatures w14:val="standardContextual"/>
              </w:rPr>
              <w:t>已细化施工工艺流程和产排污节点分析，见</w:t>
            </w:r>
            <w:bookmarkStart w:id="7" w:name="OLE_LINK83"/>
            <w:r>
              <w:rPr>
                <w:rFonts w:hint="eastAsia"/>
                <w14:ligatures w14:val="standardContextual"/>
              </w:rPr>
              <w:t>P</w:t>
            </w:r>
            <w:r>
              <w:rPr>
                <w14:ligatures w14:val="standardContextual"/>
              </w:rPr>
              <w:fldChar w:fldCharType="begin"/>
            </w:r>
            <w:r>
              <w:rPr>
                <w14:ligatures w14:val="standardContextual"/>
              </w:rPr>
              <w:instrText xml:space="preserve"> </w:instrText>
            </w:r>
            <w:r>
              <w:rPr>
                <w:rFonts w:hint="eastAsia"/>
                <w14:ligatures w14:val="standardContextual"/>
              </w:rPr>
              <w:instrText xml:space="preserve">PAGEREF 一、施工期工艺流程 \h</w:instrText>
            </w:r>
            <w:r>
              <w:rPr>
                <w14:ligatures w14:val="standardContextual"/>
              </w:rPr>
              <w:instrText xml:space="preserve"> </w:instrText>
            </w:r>
            <w:r>
              <w:rPr>
                <w14:ligatures w14:val="standardContextual"/>
              </w:rPr>
              <w:fldChar w:fldCharType="separate"/>
            </w:r>
            <w:r>
              <w:rPr>
                <w14:ligatures w14:val="standardContextual"/>
              </w:rPr>
              <w:t>16</w:t>
            </w:r>
            <w:r>
              <w:rPr>
                <w14:ligatures w14:val="standardContextual"/>
              </w:rPr>
              <w:fldChar w:fldCharType="end"/>
            </w:r>
            <w:r>
              <w:rPr>
                <w:rFonts w:hint="eastAsia"/>
                <w14:ligatures w14:val="standardContextual"/>
              </w:rPr>
              <w:t>。</w:t>
            </w:r>
            <w:bookmarkEnd w:id="7"/>
          </w:p>
        </w:tc>
      </w:tr>
      <w:tr w14:paraId="6A8E4A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567" w:type="dxa"/>
            <w:vMerge w:val="continue"/>
            <w:vAlign w:val="center"/>
          </w:tcPr>
          <w:p w14:paraId="516BB3D7">
            <w:pPr>
              <w:widowControl w:val="0"/>
              <w:overflowPunct w:val="0"/>
              <w:autoSpaceDE w:val="0"/>
              <w:autoSpaceDN w:val="0"/>
              <w:snapToGrid w:val="0"/>
              <w:jc w:val="center"/>
              <w:rPr>
                <w14:ligatures w14:val="standardContextual"/>
              </w:rPr>
            </w:pPr>
          </w:p>
        </w:tc>
        <w:tc>
          <w:tcPr>
            <w:tcW w:w="4536" w:type="dxa"/>
            <w:vAlign w:val="center"/>
          </w:tcPr>
          <w:p w14:paraId="2BDF2F0D">
            <w:pPr>
              <w:widowControl w:val="0"/>
              <w:overflowPunct w:val="0"/>
              <w:autoSpaceDE w:val="0"/>
              <w:autoSpaceDN w:val="0"/>
              <w:snapToGrid w:val="0"/>
              <w:jc w:val="center"/>
              <w:rPr>
                <w14:ligatures w14:val="standardContextual"/>
              </w:rPr>
            </w:pPr>
            <w:r>
              <w:rPr>
                <w:rFonts w:hint="eastAsia"/>
                <w14:ligatures w14:val="standardContextual"/>
              </w:rPr>
              <w:t>补充锅炉工程软化水系统工艺流程和主要污染物产排分析。</w:t>
            </w:r>
          </w:p>
        </w:tc>
        <w:tc>
          <w:tcPr>
            <w:tcW w:w="3731" w:type="dxa"/>
            <w:vAlign w:val="center"/>
          </w:tcPr>
          <w:p w14:paraId="2C1CDE70">
            <w:pPr>
              <w:widowControl w:val="0"/>
              <w:overflowPunct w:val="0"/>
              <w:autoSpaceDE w:val="0"/>
              <w:autoSpaceDN w:val="0"/>
              <w:snapToGrid w:val="0"/>
              <w:jc w:val="center"/>
              <w:rPr>
                <w14:ligatures w14:val="standardContextual"/>
              </w:rPr>
            </w:pPr>
            <w:r>
              <w:rPr>
                <w:rFonts w:hint="eastAsia"/>
                <w14:ligatures w14:val="standardContextual"/>
              </w:rPr>
              <w:t>已完善软化水系统描述，删除多介质过滤器，产污节点图见P</w:t>
            </w:r>
            <w:r>
              <w:rPr>
                <w14:ligatures w14:val="standardContextual"/>
              </w:rPr>
              <w:fldChar w:fldCharType="begin"/>
            </w:r>
            <w:r>
              <w:rPr>
                <w14:ligatures w14:val="standardContextual"/>
              </w:rPr>
              <w:instrText xml:space="preserve"> </w:instrText>
            </w:r>
            <w:r>
              <w:rPr>
                <w:rFonts w:hint="eastAsia"/>
                <w14:ligatures w14:val="standardContextual"/>
              </w:rPr>
              <w:instrText xml:space="preserve">PAGEREF _Ref192749162 \h</w:instrText>
            </w:r>
            <w:r>
              <w:rPr>
                <w14:ligatures w14:val="standardContextual"/>
              </w:rPr>
              <w:instrText xml:space="preserve"> </w:instrText>
            </w:r>
            <w:r>
              <w:rPr>
                <w14:ligatures w14:val="standardContextual"/>
              </w:rPr>
              <w:fldChar w:fldCharType="separate"/>
            </w:r>
            <w:r>
              <w:rPr>
                <w14:ligatures w14:val="standardContextual"/>
              </w:rPr>
              <w:t>21</w:t>
            </w:r>
            <w:r>
              <w:rPr>
                <w14:ligatures w14:val="standardContextual"/>
              </w:rPr>
              <w:fldChar w:fldCharType="end"/>
            </w:r>
            <w:r>
              <w:rPr>
                <w:rFonts w:hint="eastAsia"/>
                <w14:ligatures w14:val="standardContextual"/>
              </w:rPr>
              <w:t>，已核实软化水系统固体废物仅产生废离子交换树脂，见P</w:t>
            </w:r>
            <w:r>
              <w:rPr>
                <w14:ligatures w14:val="standardContextual"/>
              </w:rPr>
              <w:fldChar w:fldCharType="begin"/>
            </w:r>
            <w:r>
              <w:rPr>
                <w14:ligatures w14:val="standardContextual"/>
              </w:rPr>
              <w:instrText xml:space="preserve"> </w:instrText>
            </w:r>
            <w:r>
              <w:rPr>
                <w:rFonts w:hint="eastAsia"/>
                <w14:ligatures w14:val="standardContextual"/>
              </w:rPr>
              <w:instrText xml:space="preserve">PAGEREF _Ref186212314 \h</w:instrText>
            </w:r>
            <w:r>
              <w:rPr>
                <w14:ligatures w14:val="standardContextual"/>
              </w:rPr>
              <w:instrText xml:space="preserve"> </w:instrText>
            </w:r>
            <w:r>
              <w:rPr>
                <w14:ligatures w14:val="standardContextual"/>
              </w:rPr>
              <w:fldChar w:fldCharType="separate"/>
            </w:r>
            <w:r>
              <w:rPr>
                <w14:ligatures w14:val="standardContextual"/>
              </w:rPr>
              <w:t>21</w:t>
            </w:r>
            <w:r>
              <w:rPr>
                <w14:ligatures w14:val="standardContextual"/>
              </w:rPr>
              <w:fldChar w:fldCharType="end"/>
            </w:r>
            <w:r>
              <w:rPr>
                <w:rFonts w:hint="eastAsia"/>
                <w14:ligatures w14:val="standardContextual"/>
              </w:rPr>
              <w:t>。</w:t>
            </w:r>
          </w:p>
        </w:tc>
      </w:tr>
      <w:tr w14:paraId="2E29A1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567" w:type="dxa"/>
            <w:vAlign w:val="center"/>
          </w:tcPr>
          <w:p w14:paraId="6FDD3093">
            <w:pPr>
              <w:widowControl w:val="0"/>
              <w:overflowPunct w:val="0"/>
              <w:autoSpaceDE w:val="0"/>
              <w:autoSpaceDN w:val="0"/>
              <w:snapToGrid w:val="0"/>
              <w:jc w:val="center"/>
              <w:rPr>
                <w14:ligatures w14:val="standardContextual"/>
              </w:rPr>
            </w:pPr>
            <w:r>
              <w:rPr>
                <w:rFonts w:hint="eastAsia"/>
                <w14:ligatures w14:val="standardContextual"/>
              </w:rPr>
              <w:t>3</w:t>
            </w:r>
          </w:p>
        </w:tc>
        <w:tc>
          <w:tcPr>
            <w:tcW w:w="4536" w:type="dxa"/>
            <w:vAlign w:val="center"/>
          </w:tcPr>
          <w:p w14:paraId="139D6660">
            <w:pPr>
              <w:widowControl w:val="0"/>
              <w:overflowPunct w:val="0"/>
              <w:autoSpaceDE w:val="0"/>
              <w:autoSpaceDN w:val="0"/>
              <w:snapToGrid w:val="0"/>
              <w:jc w:val="center"/>
              <w:rPr>
                <w14:ligatures w14:val="standardContextual"/>
              </w:rPr>
            </w:pPr>
            <w:r>
              <w:rPr>
                <w:rFonts w:hint="eastAsia"/>
                <w14:ligatures w14:val="standardContextual"/>
              </w:rPr>
              <w:t>3、核实锅炉工程水平衡分析，完善项目水平衡分析。</w:t>
            </w:r>
          </w:p>
        </w:tc>
        <w:tc>
          <w:tcPr>
            <w:tcW w:w="3731" w:type="dxa"/>
            <w:vAlign w:val="center"/>
          </w:tcPr>
          <w:p w14:paraId="186D24CE">
            <w:pPr>
              <w:widowControl w:val="0"/>
              <w:overflowPunct w:val="0"/>
              <w:autoSpaceDE w:val="0"/>
              <w:autoSpaceDN w:val="0"/>
              <w:snapToGrid w:val="0"/>
              <w:jc w:val="center"/>
              <w:rPr>
                <w14:ligatures w14:val="standardContextual"/>
              </w:rPr>
            </w:pPr>
            <w:r>
              <w:rPr>
                <w:rFonts w:hint="eastAsia"/>
                <w14:ligatures w14:val="standardContextual"/>
              </w:rPr>
              <w:t>已修改软水制备效率为75%，重新核算水平衡，见P</w:t>
            </w:r>
            <w:r>
              <w:rPr>
                <w14:ligatures w14:val="standardContextual"/>
              </w:rPr>
              <w:fldChar w:fldCharType="begin"/>
            </w:r>
            <w:r>
              <w:rPr>
                <w14:ligatures w14:val="standardContextual"/>
              </w:rPr>
              <w:instrText xml:space="preserve"> </w:instrText>
            </w:r>
            <w:r>
              <w:rPr>
                <w:rFonts w:hint="eastAsia"/>
                <w14:ligatures w14:val="standardContextual"/>
              </w:rPr>
              <w:instrText xml:space="preserve">PAGEREF _Ref176881275 \h</w:instrText>
            </w:r>
            <w:r>
              <w:rPr>
                <w14:ligatures w14:val="standardContextual"/>
              </w:rPr>
              <w:instrText xml:space="preserve"> </w:instrText>
            </w:r>
            <w:r>
              <w:rPr>
                <w14:ligatures w14:val="standardContextual"/>
              </w:rPr>
              <w:fldChar w:fldCharType="separate"/>
            </w:r>
            <w:r>
              <w:rPr>
                <w14:ligatures w14:val="standardContextual"/>
              </w:rPr>
              <w:t>14</w:t>
            </w:r>
            <w:r>
              <w:rPr>
                <w14:ligatures w14:val="standardContextual"/>
              </w:rPr>
              <w:fldChar w:fldCharType="end"/>
            </w:r>
            <w:r>
              <w:rPr>
                <w:rFonts w:hint="eastAsia"/>
                <w14:ligatures w14:val="standardContextual"/>
              </w:rPr>
              <w:t>，重新进行废水污染物核算，见P</w:t>
            </w:r>
            <w:r>
              <w:rPr>
                <w14:ligatures w14:val="standardContextual"/>
              </w:rPr>
              <w:fldChar w:fldCharType="begin"/>
            </w:r>
            <w:r>
              <w:rPr>
                <w14:ligatures w14:val="standardContextual"/>
              </w:rPr>
              <w:instrText xml:space="preserve"> </w:instrText>
            </w:r>
            <w:r>
              <w:rPr>
                <w:rFonts w:hint="eastAsia"/>
                <w14:ligatures w14:val="standardContextual"/>
              </w:rPr>
              <w:instrText xml:space="preserve">PAGEREF _Ref176946665 \h</w:instrText>
            </w:r>
            <w:r>
              <w:rPr>
                <w14:ligatures w14:val="standardContextual"/>
              </w:rPr>
              <w:instrText xml:space="preserve"> </w:instrText>
            </w:r>
            <w:r>
              <w:rPr>
                <w14:ligatures w14:val="standardContextual"/>
              </w:rPr>
              <w:fldChar w:fldCharType="separate"/>
            </w:r>
            <w:r>
              <w:rPr>
                <w14:ligatures w14:val="standardContextual"/>
              </w:rPr>
              <w:t>35</w:t>
            </w:r>
            <w:r>
              <w:rPr>
                <w14:ligatures w14:val="standardContextual"/>
              </w:rPr>
              <w:fldChar w:fldCharType="end"/>
            </w:r>
            <w:r>
              <w:rPr>
                <w:rFonts w:hint="eastAsia"/>
                <w14:ligatures w14:val="standardContextual"/>
              </w:rPr>
              <w:t>。</w:t>
            </w:r>
          </w:p>
        </w:tc>
      </w:tr>
      <w:tr w14:paraId="62AA45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567" w:type="dxa"/>
            <w:vAlign w:val="center"/>
          </w:tcPr>
          <w:p w14:paraId="0E2904E3">
            <w:pPr>
              <w:widowControl w:val="0"/>
              <w:overflowPunct w:val="0"/>
              <w:autoSpaceDE w:val="0"/>
              <w:autoSpaceDN w:val="0"/>
              <w:snapToGrid w:val="0"/>
              <w:jc w:val="center"/>
              <w:rPr>
                <w14:ligatures w14:val="standardContextual"/>
              </w:rPr>
            </w:pPr>
            <w:r>
              <w:rPr>
                <w:rFonts w:hint="eastAsia"/>
                <w14:ligatures w14:val="standardContextual"/>
              </w:rPr>
              <w:t>4</w:t>
            </w:r>
          </w:p>
        </w:tc>
        <w:tc>
          <w:tcPr>
            <w:tcW w:w="4536" w:type="dxa"/>
            <w:vAlign w:val="center"/>
          </w:tcPr>
          <w:p w14:paraId="56AD2293">
            <w:pPr>
              <w:widowControl w:val="0"/>
              <w:overflowPunct w:val="0"/>
              <w:autoSpaceDE w:val="0"/>
              <w:autoSpaceDN w:val="0"/>
              <w:snapToGrid w:val="0"/>
              <w:jc w:val="center"/>
              <w:rPr>
                <w14:ligatures w14:val="standardContextual"/>
              </w:rPr>
            </w:pPr>
            <w:r>
              <w:rPr>
                <w:rFonts w:hint="eastAsia"/>
                <w14:ligatures w14:val="standardContextual"/>
              </w:rPr>
              <w:t>4、补充、完善</w:t>
            </w:r>
            <w:bookmarkStart w:id="8" w:name="OLE_LINK93"/>
            <w:r>
              <w:rPr>
                <w:rFonts w:hint="eastAsia"/>
                <w14:ligatures w14:val="standardContextual"/>
              </w:rPr>
              <w:t>环境质量标准和污染物排放标准</w:t>
            </w:r>
            <w:bookmarkEnd w:id="8"/>
            <w:r>
              <w:rPr>
                <w:rFonts w:hint="eastAsia"/>
                <w14:ligatures w14:val="standardContextual"/>
              </w:rPr>
              <w:t>。</w:t>
            </w:r>
          </w:p>
        </w:tc>
        <w:tc>
          <w:tcPr>
            <w:tcW w:w="3731" w:type="dxa"/>
            <w:vAlign w:val="center"/>
          </w:tcPr>
          <w:p w14:paraId="4B143E63">
            <w:pPr>
              <w:widowControl w:val="0"/>
              <w:overflowPunct w:val="0"/>
              <w:autoSpaceDE w:val="0"/>
              <w:autoSpaceDN w:val="0"/>
              <w:snapToGrid w:val="0"/>
              <w:jc w:val="center"/>
              <w:rPr>
                <w14:ligatures w14:val="standardContextual"/>
              </w:rPr>
            </w:pPr>
            <w:r>
              <w:rPr>
                <w:rFonts w:hint="eastAsia"/>
                <w14:ligatures w14:val="standardContextual"/>
              </w:rPr>
              <w:t>已完善环境质量标准和污染物排放标准，见P</w:t>
            </w:r>
            <w:r>
              <w:rPr>
                <w14:ligatures w14:val="standardContextual"/>
              </w:rPr>
              <w:fldChar w:fldCharType="begin"/>
            </w:r>
            <w:r>
              <w:rPr>
                <w14:ligatures w14:val="standardContextual"/>
              </w:rPr>
              <w:instrText xml:space="preserve"> </w:instrText>
            </w:r>
            <w:r>
              <w:rPr>
                <w:rFonts w:hint="eastAsia"/>
                <w14:ligatures w14:val="standardContextual"/>
              </w:rPr>
              <w:instrText xml:space="preserve">PAGEREF _Ref192717532 \h</w:instrText>
            </w:r>
            <w:r>
              <w:rPr>
                <w14:ligatures w14:val="standardContextual"/>
              </w:rPr>
              <w:instrText xml:space="preserve"> </w:instrText>
            </w:r>
            <w:r>
              <w:rPr>
                <w14:ligatures w14:val="standardContextual"/>
              </w:rPr>
              <w:fldChar w:fldCharType="separate"/>
            </w:r>
            <w:r>
              <w:rPr>
                <w14:ligatures w14:val="standardContextual"/>
              </w:rPr>
              <w:t>26</w:t>
            </w:r>
            <w:r>
              <w:rPr>
                <w14:ligatures w14:val="standardContextual"/>
              </w:rPr>
              <w:fldChar w:fldCharType="end"/>
            </w:r>
            <w:r>
              <w:rPr>
                <w:rFonts w:hint="eastAsia"/>
                <w14:ligatures w14:val="standardContextual"/>
              </w:rPr>
              <w:t>。</w:t>
            </w:r>
          </w:p>
        </w:tc>
      </w:tr>
      <w:tr w14:paraId="1D834F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567" w:type="dxa"/>
            <w:vMerge w:val="restart"/>
            <w:vAlign w:val="center"/>
          </w:tcPr>
          <w:p w14:paraId="394335F6">
            <w:pPr>
              <w:widowControl w:val="0"/>
              <w:overflowPunct w:val="0"/>
              <w:autoSpaceDE w:val="0"/>
              <w:autoSpaceDN w:val="0"/>
              <w:snapToGrid w:val="0"/>
              <w:jc w:val="center"/>
              <w:rPr>
                <w14:ligatures w14:val="standardContextual"/>
              </w:rPr>
            </w:pPr>
            <w:r>
              <w:rPr>
                <w:rFonts w:hint="eastAsia"/>
                <w14:ligatures w14:val="standardContextual"/>
              </w:rPr>
              <w:t>5</w:t>
            </w:r>
          </w:p>
        </w:tc>
        <w:tc>
          <w:tcPr>
            <w:tcW w:w="4536" w:type="dxa"/>
            <w:vAlign w:val="center"/>
          </w:tcPr>
          <w:p w14:paraId="6279FC53">
            <w:pPr>
              <w:widowControl w:val="0"/>
              <w:overflowPunct w:val="0"/>
              <w:autoSpaceDE w:val="0"/>
              <w:autoSpaceDN w:val="0"/>
              <w:snapToGrid w:val="0"/>
              <w:jc w:val="center"/>
              <w:rPr>
                <w14:ligatures w14:val="standardContextual"/>
              </w:rPr>
            </w:pPr>
            <w:r>
              <w:rPr>
                <w:rFonts w:hint="eastAsia"/>
                <w14:ligatures w14:val="standardContextual"/>
              </w:rPr>
              <w:t>5、补充项目管道施工土石方工程量、装修装饰用漆量等，</w:t>
            </w:r>
          </w:p>
        </w:tc>
        <w:tc>
          <w:tcPr>
            <w:tcW w:w="3731" w:type="dxa"/>
            <w:vAlign w:val="center"/>
          </w:tcPr>
          <w:p w14:paraId="7CD1F3CF">
            <w:pPr>
              <w:widowControl w:val="0"/>
              <w:overflowPunct w:val="0"/>
              <w:autoSpaceDE w:val="0"/>
              <w:autoSpaceDN w:val="0"/>
              <w:snapToGrid w:val="0"/>
              <w:jc w:val="center"/>
              <w:rPr>
                <w14:ligatures w14:val="standardContextual"/>
              </w:rPr>
            </w:pPr>
            <w:r>
              <w:rPr>
                <w:rFonts w:hint="eastAsia"/>
                <w14:ligatures w14:val="standardContextual"/>
              </w:rPr>
              <w:t>已补充装修装饰用漆量，见P</w:t>
            </w:r>
            <w:r>
              <w:rPr>
                <w14:ligatures w14:val="standardContextual"/>
              </w:rPr>
              <w:fldChar w:fldCharType="begin"/>
            </w:r>
            <w:r>
              <w:rPr>
                <w14:ligatures w14:val="standardContextual"/>
              </w:rPr>
              <w:instrText xml:space="preserve"> </w:instrText>
            </w:r>
            <w:r>
              <w:rPr>
                <w:rFonts w:hint="eastAsia"/>
                <w14:ligatures w14:val="standardContextual"/>
              </w:rPr>
              <w:instrText xml:space="preserve">PAGEREF 一、施工期工艺流程 \h</w:instrText>
            </w:r>
            <w:r>
              <w:rPr>
                <w14:ligatures w14:val="standardContextual"/>
              </w:rPr>
              <w:instrText xml:space="preserve"> </w:instrText>
            </w:r>
            <w:r>
              <w:rPr>
                <w14:ligatures w14:val="standardContextual"/>
              </w:rPr>
              <w:fldChar w:fldCharType="separate"/>
            </w:r>
            <w:r>
              <w:rPr>
                <w14:ligatures w14:val="standardContextual"/>
              </w:rPr>
              <w:t>16</w:t>
            </w:r>
            <w:r>
              <w:rPr>
                <w14:ligatures w14:val="standardContextual"/>
              </w:rPr>
              <w:fldChar w:fldCharType="end"/>
            </w:r>
            <w:r>
              <w:rPr>
                <w:rFonts w:hint="eastAsia"/>
                <w14:ligatures w14:val="standardContextual"/>
              </w:rPr>
              <w:t>。管道施工修改为低架空敷设，不涉及开挖土方，见附件7。</w:t>
            </w:r>
          </w:p>
        </w:tc>
      </w:tr>
      <w:tr w14:paraId="04659D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567" w:type="dxa"/>
            <w:vMerge w:val="continue"/>
            <w:vAlign w:val="center"/>
          </w:tcPr>
          <w:p w14:paraId="518CB7C9">
            <w:pPr>
              <w:widowControl w:val="0"/>
              <w:overflowPunct w:val="0"/>
              <w:autoSpaceDE w:val="0"/>
              <w:autoSpaceDN w:val="0"/>
              <w:snapToGrid w:val="0"/>
              <w:jc w:val="center"/>
              <w:rPr>
                <w14:ligatures w14:val="standardContextual"/>
              </w:rPr>
            </w:pPr>
          </w:p>
        </w:tc>
        <w:tc>
          <w:tcPr>
            <w:tcW w:w="4536" w:type="dxa"/>
            <w:vAlign w:val="center"/>
          </w:tcPr>
          <w:p w14:paraId="1E738A44">
            <w:pPr>
              <w:widowControl w:val="0"/>
              <w:overflowPunct w:val="0"/>
              <w:autoSpaceDE w:val="0"/>
              <w:autoSpaceDN w:val="0"/>
              <w:snapToGrid w:val="0"/>
              <w:jc w:val="center"/>
              <w:rPr>
                <w14:ligatures w14:val="standardContextual"/>
              </w:rPr>
            </w:pPr>
            <w:r>
              <w:rPr>
                <w:rFonts w:hint="eastAsia"/>
                <w14:ligatures w14:val="standardContextual"/>
              </w:rPr>
              <w:t>结合拟采取的污染防治措施，核实装修有机废气、施工扬尘、固体废物影响分析。</w:t>
            </w:r>
          </w:p>
        </w:tc>
        <w:tc>
          <w:tcPr>
            <w:tcW w:w="3731" w:type="dxa"/>
            <w:vAlign w:val="center"/>
          </w:tcPr>
          <w:p w14:paraId="518C09ED">
            <w:pPr>
              <w:widowControl w:val="0"/>
              <w:overflowPunct w:val="0"/>
              <w:autoSpaceDE w:val="0"/>
              <w:autoSpaceDN w:val="0"/>
              <w:snapToGrid w:val="0"/>
              <w:jc w:val="center"/>
              <w:rPr>
                <w14:ligatures w14:val="standardContextual"/>
              </w:rPr>
            </w:pPr>
            <w:r>
              <w:rPr>
                <w:rFonts w:hint="eastAsia"/>
                <w14:ligatures w14:val="standardContextual"/>
              </w:rPr>
              <w:t>已完善装修有机废气、施工扬尘等污染防治措施，见P</w:t>
            </w:r>
            <w:r>
              <w:rPr>
                <w14:ligatures w14:val="standardContextual"/>
              </w:rPr>
              <w:fldChar w:fldCharType="begin"/>
            </w:r>
            <w:r>
              <w:rPr>
                <w14:ligatures w14:val="standardContextual"/>
              </w:rPr>
              <w:instrText xml:space="preserve"> </w:instrText>
            </w:r>
            <w:r>
              <w:rPr>
                <w:rFonts w:hint="eastAsia"/>
                <w14:ligatures w14:val="standardContextual"/>
              </w:rPr>
              <w:instrText xml:space="preserve">PAGEREF 施工期环境保护措施 \h</w:instrText>
            </w:r>
            <w:r>
              <w:rPr>
                <w14:ligatures w14:val="standardContextual"/>
              </w:rPr>
              <w:instrText xml:space="preserve"> </w:instrText>
            </w:r>
            <w:r>
              <w:rPr>
                <w14:ligatures w14:val="standardContextual"/>
              </w:rPr>
              <w:fldChar w:fldCharType="separate"/>
            </w:r>
            <w:r>
              <w:rPr>
                <w14:ligatures w14:val="standardContextual"/>
              </w:rPr>
              <w:t>29</w:t>
            </w:r>
            <w:r>
              <w:rPr>
                <w14:ligatures w14:val="standardContextual"/>
              </w:rPr>
              <w:fldChar w:fldCharType="end"/>
            </w:r>
            <w:r>
              <w:rPr>
                <w:rFonts w:hint="eastAsia"/>
                <w14:ligatures w14:val="standardContextual"/>
              </w:rPr>
              <w:t>。</w:t>
            </w:r>
          </w:p>
        </w:tc>
      </w:tr>
      <w:tr w14:paraId="35C486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567" w:type="dxa"/>
            <w:vAlign w:val="center"/>
          </w:tcPr>
          <w:p w14:paraId="49680B86">
            <w:pPr>
              <w:widowControl w:val="0"/>
              <w:overflowPunct w:val="0"/>
              <w:autoSpaceDE w:val="0"/>
              <w:autoSpaceDN w:val="0"/>
              <w:snapToGrid w:val="0"/>
              <w:jc w:val="center"/>
              <w:rPr>
                <w14:ligatures w14:val="standardContextual"/>
              </w:rPr>
            </w:pPr>
            <w:r>
              <w:rPr>
                <w:rFonts w:hint="eastAsia"/>
                <w14:ligatures w14:val="standardContextual"/>
              </w:rPr>
              <w:t>6</w:t>
            </w:r>
          </w:p>
        </w:tc>
        <w:tc>
          <w:tcPr>
            <w:tcW w:w="4536" w:type="dxa"/>
            <w:vAlign w:val="center"/>
          </w:tcPr>
          <w:p w14:paraId="378EF4A3">
            <w:pPr>
              <w:widowControl w:val="0"/>
              <w:overflowPunct w:val="0"/>
              <w:autoSpaceDE w:val="0"/>
              <w:autoSpaceDN w:val="0"/>
              <w:snapToGrid w:val="0"/>
              <w:jc w:val="center"/>
              <w:rPr>
                <w14:ligatures w14:val="standardContextual"/>
              </w:rPr>
            </w:pPr>
            <w:r>
              <w:rPr>
                <w:rFonts w:hint="eastAsia"/>
                <w14:ligatures w14:val="standardContextual"/>
              </w:rPr>
              <w:t>6、核实锅炉燃料用量、产污系数，进一步完善锅炉工程烟气主要污染物产排分析和达标分析。</w:t>
            </w:r>
          </w:p>
        </w:tc>
        <w:tc>
          <w:tcPr>
            <w:tcW w:w="3731" w:type="dxa"/>
            <w:vAlign w:val="center"/>
          </w:tcPr>
          <w:p w14:paraId="024BECB5">
            <w:pPr>
              <w:widowControl w:val="0"/>
              <w:overflowPunct w:val="0"/>
              <w:autoSpaceDE w:val="0"/>
              <w:autoSpaceDN w:val="0"/>
              <w:snapToGrid w:val="0"/>
              <w:jc w:val="center"/>
              <w:rPr>
                <w14:ligatures w14:val="standardContextual"/>
              </w:rPr>
            </w:pPr>
            <w:r>
              <w:rPr>
                <w:rFonts w:hint="eastAsia"/>
                <w14:ligatures w14:val="standardContextual"/>
              </w:rPr>
              <w:t>已核实锅炉燃料用量、产污系数，重新附</w:t>
            </w:r>
            <w:r>
              <w:rPr>
                <w14:ligatures w14:val="standardContextual"/>
              </w:rPr>
              <w:fldChar w:fldCharType="begin"/>
            </w:r>
            <w:r>
              <w:rPr>
                <w14:ligatures w14:val="standardContextual"/>
              </w:rPr>
              <w:instrText xml:space="preserve"> </w:instrText>
            </w:r>
            <w:r>
              <w:rPr>
                <w:rFonts w:hint="eastAsia"/>
                <w14:ligatures w14:val="standardContextual"/>
              </w:rPr>
              <w:instrText xml:space="preserve">REF _Ref175518954 \h</w:instrText>
            </w:r>
            <w:r>
              <w:rPr>
                <w14:ligatures w14:val="standardContextual"/>
              </w:rPr>
              <w:instrText xml:space="preserve"> </w:instrText>
            </w:r>
            <w:r>
              <w:rPr>
                <w14:ligatures w14:val="standardContextual"/>
              </w:rPr>
              <w:fldChar w:fldCharType="separate"/>
            </w:r>
            <w:r>
              <w:rPr>
                <w:rFonts w:hint="eastAsia"/>
                <w14:ligatures w14:val="standardContextual"/>
              </w:rPr>
              <w:t xml:space="preserve">表4- </w:t>
            </w:r>
            <w:r>
              <w:rPr>
                <w14:ligatures w14:val="standardContextual"/>
              </w:rPr>
              <w:t>1</w:t>
            </w:r>
            <w:r>
              <w:rPr>
                <w14:ligatures w14:val="standardContextual"/>
              </w:rPr>
              <w:fldChar w:fldCharType="end"/>
            </w:r>
            <w:r>
              <w:rPr>
                <w:rFonts w:hint="eastAsia"/>
                <w14:ligatures w14:val="standardContextual"/>
              </w:rPr>
              <w:t>，见P</w:t>
            </w:r>
            <w:r>
              <w:rPr>
                <w14:ligatures w14:val="standardContextual"/>
              </w:rPr>
              <w:fldChar w:fldCharType="begin"/>
            </w:r>
            <w:r>
              <w:rPr>
                <w14:ligatures w14:val="standardContextual"/>
              </w:rPr>
              <w:instrText xml:space="preserve"> PAGEREF _Ref176880438 \h </w:instrText>
            </w:r>
            <w:r>
              <w:rPr>
                <w14:ligatures w14:val="standardContextual"/>
              </w:rPr>
              <w:fldChar w:fldCharType="separate"/>
            </w:r>
            <w:r>
              <w:rPr>
                <w14:ligatures w14:val="standardContextual"/>
              </w:rPr>
              <w:t>32</w:t>
            </w:r>
            <w:r>
              <w:rPr>
                <w14:ligatures w14:val="standardContextual"/>
              </w:rPr>
              <w:fldChar w:fldCharType="end"/>
            </w:r>
            <w:r>
              <w:rPr>
                <w:rFonts w:hint="eastAsia"/>
                <w14:ligatures w14:val="standardContextual"/>
              </w:rPr>
              <w:t>。补充生物质检测报告见附件9，同步修订含硫量及二氧化硫排放量，同时删除生物质成型颗粒无组织颗粒物排放，见</w:t>
            </w:r>
            <w:r>
              <w:rPr>
                <w14:ligatures w14:val="standardContextual"/>
              </w:rPr>
              <w:fldChar w:fldCharType="begin"/>
            </w:r>
            <w:r>
              <w:rPr>
                <w14:ligatures w14:val="standardContextual"/>
              </w:rPr>
              <w:instrText xml:space="preserve"> </w:instrText>
            </w:r>
            <w:r>
              <w:rPr>
                <w:rFonts w:hint="eastAsia"/>
                <w14:ligatures w14:val="standardContextual"/>
              </w:rPr>
              <w:instrText xml:space="preserve">REF _Ref175518954 \h</w:instrText>
            </w:r>
            <w:r>
              <w:rPr>
                <w14:ligatures w14:val="standardContextual"/>
              </w:rPr>
              <w:instrText xml:space="preserve"> </w:instrText>
            </w:r>
            <w:r>
              <w:rPr>
                <w14:ligatures w14:val="standardContextual"/>
              </w:rPr>
              <w:fldChar w:fldCharType="separate"/>
            </w:r>
            <w:r>
              <w:rPr>
                <w:rFonts w:hint="eastAsia"/>
                <w14:ligatures w14:val="standardContextual"/>
              </w:rPr>
              <w:t xml:space="preserve">表4- </w:t>
            </w:r>
            <w:r>
              <w:rPr>
                <w14:ligatures w14:val="standardContextual"/>
              </w:rPr>
              <w:t>1</w:t>
            </w:r>
            <w:r>
              <w:rPr>
                <w14:ligatures w14:val="standardContextual"/>
              </w:rPr>
              <w:fldChar w:fldCharType="end"/>
            </w:r>
            <w:r>
              <w:rPr>
                <w:rFonts w:hint="eastAsia"/>
                <w14:ligatures w14:val="standardContextual"/>
              </w:rPr>
              <w:t>，P</w:t>
            </w:r>
            <w:r>
              <w:rPr>
                <w14:ligatures w14:val="standardContextual"/>
              </w:rPr>
              <w:fldChar w:fldCharType="begin"/>
            </w:r>
            <w:r>
              <w:rPr>
                <w14:ligatures w14:val="standardContextual"/>
              </w:rPr>
              <w:instrText xml:space="preserve"> </w:instrText>
            </w:r>
            <w:r>
              <w:rPr>
                <w:rFonts w:hint="eastAsia"/>
                <w14:ligatures w14:val="standardContextual"/>
              </w:rPr>
              <w:instrText xml:space="preserve">PAGEREF _Ref176880438 \h</w:instrText>
            </w:r>
            <w:r>
              <w:rPr>
                <w14:ligatures w14:val="standardContextual"/>
              </w:rPr>
              <w:instrText xml:space="preserve"> </w:instrText>
            </w:r>
            <w:r>
              <w:rPr>
                <w14:ligatures w14:val="standardContextual"/>
              </w:rPr>
              <w:fldChar w:fldCharType="separate"/>
            </w:r>
            <w:r>
              <w:rPr>
                <w14:ligatures w14:val="standardContextual"/>
              </w:rPr>
              <w:t>32</w:t>
            </w:r>
            <w:r>
              <w:rPr>
                <w14:ligatures w14:val="standardContextual"/>
              </w:rPr>
              <w:fldChar w:fldCharType="end"/>
            </w:r>
            <w:r>
              <w:rPr>
                <w:rFonts w:hint="eastAsia"/>
                <w14:ligatures w14:val="standardContextual"/>
              </w:rPr>
              <w:t>，其余数字同步修改。</w:t>
            </w:r>
          </w:p>
        </w:tc>
      </w:tr>
      <w:tr w14:paraId="070195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567" w:type="dxa"/>
            <w:vMerge w:val="restart"/>
            <w:vAlign w:val="center"/>
          </w:tcPr>
          <w:p w14:paraId="4F788A76">
            <w:pPr>
              <w:widowControl w:val="0"/>
              <w:overflowPunct w:val="0"/>
              <w:autoSpaceDE w:val="0"/>
              <w:autoSpaceDN w:val="0"/>
              <w:snapToGrid w:val="0"/>
              <w:jc w:val="center"/>
              <w:rPr>
                <w14:ligatures w14:val="standardContextual"/>
              </w:rPr>
            </w:pPr>
            <w:r>
              <w:rPr>
                <w:rFonts w:hint="eastAsia"/>
                <w14:ligatures w14:val="standardContextual"/>
              </w:rPr>
              <w:t>7</w:t>
            </w:r>
          </w:p>
        </w:tc>
        <w:tc>
          <w:tcPr>
            <w:tcW w:w="4536" w:type="dxa"/>
            <w:vAlign w:val="center"/>
          </w:tcPr>
          <w:p w14:paraId="5E64BE56">
            <w:pPr>
              <w:widowControl w:val="0"/>
              <w:overflowPunct w:val="0"/>
              <w:autoSpaceDE w:val="0"/>
              <w:autoSpaceDN w:val="0"/>
              <w:snapToGrid w:val="0"/>
              <w:jc w:val="center"/>
              <w:rPr>
                <w14:ligatures w14:val="standardContextual"/>
              </w:rPr>
            </w:pPr>
            <w:r>
              <w:rPr>
                <w:rFonts w:hint="eastAsia"/>
                <w14:ligatures w14:val="standardContextual"/>
              </w:rPr>
              <w:t>7、核实锅炉工程固体废物产排分析，明确其去向；</w:t>
            </w:r>
          </w:p>
        </w:tc>
        <w:tc>
          <w:tcPr>
            <w:tcW w:w="3731" w:type="dxa"/>
            <w:vAlign w:val="center"/>
          </w:tcPr>
          <w:p w14:paraId="59E6D18B">
            <w:pPr>
              <w:widowControl w:val="0"/>
              <w:overflowPunct w:val="0"/>
              <w:autoSpaceDE w:val="0"/>
              <w:autoSpaceDN w:val="0"/>
              <w:snapToGrid w:val="0"/>
              <w:jc w:val="center"/>
              <w:rPr>
                <w14:ligatures w14:val="standardContextual"/>
              </w:rPr>
            </w:pPr>
            <w:r>
              <w:rPr>
                <w:rFonts w:hint="eastAsia"/>
                <w14:ligatures w14:val="standardContextual"/>
              </w:rPr>
              <w:t>已核实，S1除尘灰、S2炉渣收集后外运做农肥，全文统一修改，见</w:t>
            </w:r>
            <w:r>
              <w:rPr>
                <w14:ligatures w14:val="standardContextual"/>
              </w:rPr>
              <w:fldChar w:fldCharType="begin"/>
            </w:r>
            <w:r>
              <w:rPr>
                <w14:ligatures w14:val="standardContextual"/>
              </w:rPr>
              <w:instrText xml:space="preserve"> </w:instrText>
            </w:r>
            <w:r>
              <w:rPr>
                <w:rFonts w:hint="eastAsia"/>
                <w14:ligatures w14:val="standardContextual"/>
              </w:rPr>
              <w:instrText xml:space="preserve">REF _Ref192750457 \h</w:instrText>
            </w:r>
            <w:r>
              <w:rPr>
                <w14:ligatures w14:val="standardContextual"/>
              </w:rPr>
              <w:instrText xml:space="preserve"> </w:instrText>
            </w:r>
            <w:r>
              <w:rPr>
                <w14:ligatures w14:val="standardContextual"/>
              </w:rPr>
              <w:fldChar w:fldCharType="separate"/>
            </w:r>
            <w:r>
              <w:rPr>
                <w:rFonts w:hint="eastAsia"/>
                <w14:ligatures w14:val="standardContextual"/>
              </w:rPr>
              <w:t xml:space="preserve">表4- </w:t>
            </w:r>
            <w:r>
              <w:rPr>
                <w14:ligatures w14:val="standardContextual"/>
              </w:rPr>
              <w:t>13</w:t>
            </w:r>
            <w:r>
              <w:rPr>
                <w14:ligatures w14:val="standardContextual"/>
              </w:rPr>
              <w:fldChar w:fldCharType="end"/>
            </w:r>
            <w:r>
              <w:rPr>
                <w:rFonts w:hint="eastAsia"/>
                <w14:ligatures w14:val="standardContextual"/>
              </w:rPr>
              <w:t>，P</w:t>
            </w:r>
            <w:r>
              <w:rPr>
                <w14:ligatures w14:val="standardContextual"/>
              </w:rPr>
              <w:fldChar w:fldCharType="begin"/>
            </w:r>
            <w:r>
              <w:rPr>
                <w14:ligatures w14:val="standardContextual"/>
              </w:rPr>
              <w:instrText xml:space="preserve"> </w:instrText>
            </w:r>
            <w:r>
              <w:rPr>
                <w:rFonts w:hint="eastAsia"/>
                <w14:ligatures w14:val="standardContextual"/>
              </w:rPr>
              <w:instrText xml:space="preserve">PAGEREF _Ref176914655 \h</w:instrText>
            </w:r>
            <w:r>
              <w:rPr>
                <w14:ligatures w14:val="standardContextual"/>
              </w:rPr>
              <w:instrText xml:space="preserve"> </w:instrText>
            </w:r>
            <w:r>
              <w:rPr>
                <w14:ligatures w14:val="standardContextual"/>
              </w:rPr>
              <w:fldChar w:fldCharType="separate"/>
            </w:r>
            <w:r>
              <w:rPr>
                <w14:ligatures w14:val="standardContextual"/>
              </w:rPr>
              <w:t>43</w:t>
            </w:r>
            <w:r>
              <w:rPr>
                <w14:ligatures w14:val="standardContextual"/>
              </w:rPr>
              <w:fldChar w:fldCharType="end"/>
            </w:r>
            <w:r>
              <w:rPr>
                <w:rFonts w:hint="eastAsia"/>
                <w14:ligatures w14:val="standardContextual"/>
              </w:rPr>
              <w:t>。</w:t>
            </w:r>
          </w:p>
        </w:tc>
      </w:tr>
      <w:tr w14:paraId="11A06C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567" w:type="dxa"/>
            <w:vMerge w:val="continue"/>
            <w:vAlign w:val="center"/>
          </w:tcPr>
          <w:p w14:paraId="62CB0E42">
            <w:pPr>
              <w:widowControl w:val="0"/>
              <w:overflowPunct w:val="0"/>
              <w:autoSpaceDE w:val="0"/>
              <w:autoSpaceDN w:val="0"/>
              <w:snapToGrid w:val="0"/>
              <w:jc w:val="center"/>
              <w:rPr>
                <w14:ligatures w14:val="standardContextual"/>
              </w:rPr>
            </w:pPr>
          </w:p>
        </w:tc>
        <w:tc>
          <w:tcPr>
            <w:tcW w:w="4536" w:type="dxa"/>
            <w:vAlign w:val="center"/>
          </w:tcPr>
          <w:p w14:paraId="22EEEA25">
            <w:pPr>
              <w:widowControl w:val="0"/>
              <w:overflowPunct w:val="0"/>
              <w:autoSpaceDE w:val="0"/>
              <w:autoSpaceDN w:val="0"/>
              <w:snapToGrid w:val="0"/>
              <w:jc w:val="center"/>
              <w:rPr>
                <w14:ligatures w14:val="standardContextual"/>
              </w:rPr>
            </w:pPr>
            <w:r>
              <w:rPr>
                <w:rFonts w:hint="eastAsia"/>
                <w14:ligatures w14:val="standardContextual"/>
              </w:rPr>
              <w:t>补充、完善各子项目固废产排分析。</w:t>
            </w:r>
          </w:p>
        </w:tc>
        <w:tc>
          <w:tcPr>
            <w:tcW w:w="3731" w:type="dxa"/>
            <w:vAlign w:val="center"/>
          </w:tcPr>
          <w:p w14:paraId="4299640F">
            <w:pPr>
              <w:widowControl w:val="0"/>
              <w:overflowPunct w:val="0"/>
              <w:autoSpaceDE w:val="0"/>
              <w:autoSpaceDN w:val="0"/>
              <w:snapToGrid w:val="0"/>
              <w:jc w:val="center"/>
              <w:rPr>
                <w14:ligatures w14:val="standardContextual"/>
              </w:rPr>
            </w:pPr>
            <w:r>
              <w:rPr>
                <w:rFonts w:hint="eastAsia"/>
                <w14:ligatures w14:val="standardContextual"/>
              </w:rPr>
              <w:t>本项目光伏发电工程另行评价，其余子项目运营期不涉及固体废物。见P</w:t>
            </w:r>
            <w:r>
              <w:rPr>
                <w14:ligatures w14:val="standardContextual"/>
              </w:rPr>
              <w:fldChar w:fldCharType="begin"/>
            </w:r>
            <w:r>
              <w:rPr>
                <w14:ligatures w14:val="standardContextual"/>
              </w:rPr>
              <w:instrText xml:space="preserve"> </w:instrText>
            </w:r>
            <w:r>
              <w:rPr>
                <w:rFonts w:hint="eastAsia"/>
                <w14:ligatures w14:val="standardContextual"/>
              </w:rPr>
              <w:instrText xml:space="preserve">PAGEREF _Ref176965472 \h</w:instrText>
            </w:r>
            <w:r>
              <w:rPr>
                <w14:ligatures w14:val="standardContextual"/>
              </w:rPr>
              <w:instrText xml:space="preserve"> </w:instrText>
            </w:r>
            <w:r>
              <w:rPr>
                <w14:ligatures w14:val="standardContextual"/>
              </w:rPr>
              <w:fldChar w:fldCharType="separate"/>
            </w:r>
            <w:r>
              <w:rPr>
                <w14:ligatures w14:val="standardContextual"/>
              </w:rPr>
              <w:t>10</w:t>
            </w:r>
            <w:r>
              <w:rPr>
                <w14:ligatures w14:val="standardContextual"/>
              </w:rPr>
              <w:fldChar w:fldCharType="end"/>
            </w:r>
            <w:r>
              <w:rPr>
                <w:rFonts w:hint="eastAsia"/>
                <w14:ligatures w14:val="standardContextual"/>
              </w:rPr>
              <w:t>。</w:t>
            </w:r>
          </w:p>
        </w:tc>
      </w:tr>
      <w:tr w14:paraId="7EFC35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567" w:type="dxa"/>
            <w:vAlign w:val="center"/>
          </w:tcPr>
          <w:p w14:paraId="526B031B">
            <w:pPr>
              <w:widowControl w:val="0"/>
              <w:overflowPunct w:val="0"/>
              <w:autoSpaceDE w:val="0"/>
              <w:autoSpaceDN w:val="0"/>
              <w:snapToGrid w:val="0"/>
              <w:jc w:val="center"/>
              <w:rPr>
                <w14:ligatures w14:val="standardContextual"/>
              </w:rPr>
            </w:pPr>
            <w:r>
              <w:rPr>
                <w:rFonts w:hint="eastAsia"/>
                <w14:ligatures w14:val="standardContextual"/>
              </w:rPr>
              <w:t>8</w:t>
            </w:r>
          </w:p>
        </w:tc>
        <w:tc>
          <w:tcPr>
            <w:tcW w:w="4536" w:type="dxa"/>
            <w:vAlign w:val="center"/>
          </w:tcPr>
          <w:p w14:paraId="6E630749">
            <w:pPr>
              <w:widowControl w:val="0"/>
              <w:overflowPunct w:val="0"/>
              <w:autoSpaceDE w:val="0"/>
              <w:autoSpaceDN w:val="0"/>
              <w:snapToGrid w:val="0"/>
              <w:jc w:val="center"/>
              <w:rPr>
                <w14:ligatures w14:val="standardContextual"/>
              </w:rPr>
            </w:pPr>
            <w:r>
              <w:rPr>
                <w:rFonts w:hint="eastAsia"/>
                <w14:ligatures w14:val="standardContextual"/>
              </w:rPr>
              <w:t>8、核实大气环境监测计划。</w:t>
            </w:r>
          </w:p>
        </w:tc>
        <w:tc>
          <w:tcPr>
            <w:tcW w:w="3731" w:type="dxa"/>
            <w:vAlign w:val="center"/>
          </w:tcPr>
          <w:p w14:paraId="681B6B9C">
            <w:pPr>
              <w:widowControl w:val="0"/>
              <w:overflowPunct w:val="0"/>
              <w:autoSpaceDE w:val="0"/>
              <w:autoSpaceDN w:val="0"/>
              <w:snapToGrid w:val="0"/>
              <w:jc w:val="center"/>
              <w:rPr>
                <w14:ligatures w14:val="standardContextual"/>
              </w:rPr>
            </w:pPr>
            <w:r>
              <w:rPr>
                <w:rFonts w:hint="eastAsia"/>
                <w14:ligatures w14:val="standardContextual"/>
              </w:rPr>
              <w:t>已核实，删除厂界无组织颗粒物，见P</w:t>
            </w:r>
            <w:r>
              <w:rPr>
                <w14:ligatures w14:val="standardContextual"/>
              </w:rPr>
              <w:fldChar w:fldCharType="begin"/>
            </w:r>
            <w:r>
              <w:rPr>
                <w14:ligatures w14:val="standardContextual"/>
              </w:rPr>
              <w:instrText xml:space="preserve"> </w:instrText>
            </w:r>
            <w:r>
              <w:rPr>
                <w:rFonts w:hint="eastAsia"/>
                <w14:ligatures w14:val="standardContextual"/>
              </w:rPr>
              <w:instrText xml:space="preserve">PAGEREF _Ref192717133 \h</w:instrText>
            </w:r>
            <w:r>
              <w:rPr>
                <w14:ligatures w14:val="standardContextual"/>
              </w:rPr>
              <w:instrText xml:space="preserve"> </w:instrText>
            </w:r>
            <w:r>
              <w:rPr>
                <w14:ligatures w14:val="standardContextual"/>
              </w:rPr>
              <w:fldChar w:fldCharType="separate"/>
            </w:r>
            <w:r>
              <w:rPr>
                <w14:ligatures w14:val="standardContextual"/>
              </w:rPr>
              <w:t>34</w:t>
            </w:r>
            <w:r>
              <w:rPr>
                <w14:ligatures w14:val="standardContextual"/>
              </w:rPr>
              <w:fldChar w:fldCharType="end"/>
            </w:r>
            <w:r>
              <w:rPr>
                <w:rFonts w:hint="eastAsia"/>
                <w14:ligatures w14:val="standardContextual"/>
              </w:rPr>
              <w:t>。</w:t>
            </w:r>
          </w:p>
        </w:tc>
      </w:tr>
      <w:tr w14:paraId="0D11FE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567" w:type="dxa"/>
            <w:vAlign w:val="center"/>
          </w:tcPr>
          <w:p w14:paraId="2CA457A3">
            <w:pPr>
              <w:widowControl w:val="0"/>
              <w:overflowPunct w:val="0"/>
              <w:autoSpaceDE w:val="0"/>
              <w:autoSpaceDN w:val="0"/>
              <w:snapToGrid w:val="0"/>
              <w:jc w:val="center"/>
              <w:rPr>
                <w14:ligatures w14:val="standardContextual"/>
              </w:rPr>
            </w:pPr>
            <w:r>
              <w:rPr>
                <w:rFonts w:hint="eastAsia"/>
                <w14:ligatures w14:val="standardContextual"/>
              </w:rPr>
              <w:t>9</w:t>
            </w:r>
          </w:p>
        </w:tc>
        <w:tc>
          <w:tcPr>
            <w:tcW w:w="4536" w:type="dxa"/>
            <w:vAlign w:val="center"/>
          </w:tcPr>
          <w:p w14:paraId="37C2D2C5">
            <w:pPr>
              <w:widowControl w:val="0"/>
              <w:overflowPunct w:val="0"/>
              <w:autoSpaceDE w:val="0"/>
              <w:autoSpaceDN w:val="0"/>
              <w:snapToGrid w:val="0"/>
              <w:jc w:val="center"/>
              <w:rPr>
                <w14:ligatures w14:val="standardContextual"/>
              </w:rPr>
            </w:pPr>
            <w:bookmarkStart w:id="9" w:name="OLE_LINK22"/>
            <w:r>
              <w:rPr>
                <w:rFonts w:hint="eastAsia"/>
                <w14:ligatures w14:val="standardContextual"/>
              </w:rPr>
              <w:t>9、核实、完善项目环境风险防范措施，完善措施技术可行性分析。</w:t>
            </w:r>
            <w:bookmarkEnd w:id="9"/>
          </w:p>
        </w:tc>
        <w:tc>
          <w:tcPr>
            <w:tcW w:w="3731" w:type="dxa"/>
            <w:vAlign w:val="center"/>
          </w:tcPr>
          <w:p w14:paraId="481C9F24">
            <w:pPr>
              <w:widowControl w:val="0"/>
              <w:overflowPunct w:val="0"/>
              <w:autoSpaceDE w:val="0"/>
              <w:autoSpaceDN w:val="0"/>
              <w:snapToGrid w:val="0"/>
              <w:jc w:val="center"/>
              <w:rPr>
                <w14:ligatures w14:val="standardContextual"/>
              </w:rPr>
            </w:pPr>
            <w:r>
              <w:rPr>
                <w:rFonts w:hint="eastAsia"/>
                <w14:ligatures w14:val="standardContextual"/>
              </w:rPr>
              <w:t>已核实并完善风险防范措施，见P</w:t>
            </w:r>
            <w:r>
              <w:rPr>
                <w14:ligatures w14:val="standardContextual"/>
              </w:rPr>
              <w:fldChar w:fldCharType="begin"/>
            </w:r>
            <w:r>
              <w:rPr>
                <w14:ligatures w14:val="standardContextual"/>
              </w:rPr>
              <w:instrText xml:space="preserve"> </w:instrText>
            </w:r>
            <w:r>
              <w:rPr>
                <w:rFonts w:hint="eastAsia"/>
                <w14:ligatures w14:val="standardContextual"/>
              </w:rPr>
              <w:instrText xml:space="preserve">PAGEREF _Ref192750652 \h</w:instrText>
            </w:r>
            <w:r>
              <w:rPr>
                <w14:ligatures w14:val="standardContextual"/>
              </w:rPr>
              <w:instrText xml:space="preserve"> </w:instrText>
            </w:r>
            <w:r>
              <w:rPr>
                <w14:ligatures w14:val="standardContextual"/>
              </w:rPr>
              <w:fldChar w:fldCharType="separate"/>
            </w:r>
            <w:r>
              <w:rPr>
                <w14:ligatures w14:val="standardContextual"/>
              </w:rPr>
              <w:t>51</w:t>
            </w:r>
            <w:r>
              <w:rPr>
                <w14:ligatures w14:val="standardContextual"/>
              </w:rPr>
              <w:fldChar w:fldCharType="end"/>
            </w:r>
            <w:r>
              <w:rPr>
                <w:rFonts w:hint="eastAsia"/>
                <w14:ligatures w14:val="standardContextual"/>
              </w:rPr>
              <w:t>。</w:t>
            </w:r>
          </w:p>
        </w:tc>
      </w:tr>
    </w:tbl>
    <w:p w14:paraId="68AA895A">
      <w:pPr>
        <w:pStyle w:val="51"/>
      </w:pPr>
    </w:p>
    <w:p w14:paraId="298C7C6A">
      <w:pPr>
        <w:pStyle w:val="3"/>
        <w:ind w:firstLine="480"/>
      </w:pPr>
    </w:p>
    <w:bookmarkEnd w:id="0"/>
    <w:p w14:paraId="134BD002">
      <w:pPr>
        <w:pStyle w:val="3"/>
        <w:ind w:firstLine="480"/>
      </w:pPr>
    </w:p>
    <w:p w14:paraId="7B6FADC3">
      <w:pPr>
        <w:pStyle w:val="3"/>
        <w:ind w:firstLine="480"/>
        <w:sectPr>
          <w:pgSz w:w="11906" w:h="16838"/>
          <w:pgMar w:top="1701" w:right="1531" w:bottom="1701" w:left="1531" w:header="851" w:footer="1077" w:gutter="0"/>
          <w:pgNumType w:start="1"/>
          <w:cols w:space="720" w:num="1"/>
          <w:docGrid w:linePitch="312" w:charSpace="0"/>
        </w:sectPr>
      </w:pPr>
    </w:p>
    <w:sdt>
      <w:sdtPr>
        <w:rPr>
          <w:rFonts w:ascii="Times New Roman" w:hAnsi="Times New Roman" w:eastAsia="宋体" w:cs="Times New Roman"/>
          <w:snapToGrid w:val="0"/>
          <w:color w:val="auto"/>
          <w:sz w:val="21"/>
          <w:szCs w:val="21"/>
          <w:lang w:val="zh-CN"/>
          <w14:ligatures w14:val="standardContextual"/>
        </w:rPr>
        <w:id w:val="1272057384"/>
        <w:docPartObj>
          <w:docPartGallery w:val="Table of Contents"/>
          <w:docPartUnique/>
        </w:docPartObj>
      </w:sdtPr>
      <w:sdtEndPr>
        <w:rPr>
          <w:rFonts w:ascii="Times New Roman" w:hAnsi="Times New Roman" w:eastAsia="宋体" w:cs="Times New Roman"/>
          <w:snapToGrid w:val="0"/>
          <w:color w:val="auto"/>
          <w:sz w:val="24"/>
          <w:szCs w:val="21"/>
          <w:lang w:val="zh-CN"/>
          <w14:ligatures w14:val="standardContextual"/>
        </w:rPr>
      </w:sdtEndPr>
      <w:sdtContent>
        <w:p w14:paraId="066A1DE2">
          <w:pPr>
            <w:pStyle w:val="70"/>
            <w:jc w:val="center"/>
            <w:rPr>
              <w:rFonts w:hint="eastAsia"/>
              <w:color w:val="auto"/>
            </w:rPr>
          </w:pPr>
          <w:r>
            <w:rPr>
              <w:b/>
              <w:bCs/>
              <w:color w:val="auto"/>
              <w:lang w:val="zh-CN"/>
            </w:rPr>
            <w:t>目录</w:t>
          </w:r>
        </w:p>
        <w:p w14:paraId="0AFF2953">
          <w:pPr>
            <w:pStyle w:val="17"/>
            <w:rPr>
              <w:rFonts w:hint="eastAsia" w:asciiTheme="minorHAnsi" w:hAnsiTheme="minorHAnsi" w:eastAsiaTheme="minorEastAsia" w:cstheme="minorBidi"/>
              <w:kern w:val="2"/>
              <w:sz w:val="22"/>
              <w:szCs w:val="24"/>
              <w14:ligatures w14:val="standardContextual"/>
            </w:rPr>
          </w:pPr>
          <w:r>
            <w:fldChar w:fldCharType="begin"/>
          </w:r>
          <w:r>
            <w:instrText xml:space="preserve"> TOC \h \z \t "标题 1,1" </w:instrText>
          </w:r>
          <w:r>
            <w:fldChar w:fldCharType="separate"/>
          </w:r>
          <w:r>
            <w:fldChar w:fldCharType="begin"/>
          </w:r>
          <w:r>
            <w:instrText xml:space="preserve"> HYPERLINK \l "_Toc191861459" </w:instrText>
          </w:r>
          <w:r>
            <w:fldChar w:fldCharType="separate"/>
          </w:r>
          <w:r>
            <w:rPr>
              <w:rStyle w:val="29"/>
              <w:rFonts w:hint="eastAsia"/>
              <w:snapToGrid w:val="0"/>
              <w:color w:val="auto"/>
            </w:rPr>
            <w:t>一、 建设项目基本情况</w:t>
          </w:r>
          <w:r>
            <w:rPr>
              <w:rFonts w:hint="eastAsia"/>
            </w:rPr>
            <w:tab/>
          </w:r>
          <w:r>
            <w:rPr>
              <w:rFonts w:hint="eastAsia"/>
            </w:rPr>
            <w:fldChar w:fldCharType="begin"/>
          </w:r>
          <w:r>
            <w:rPr>
              <w:rFonts w:hint="eastAsia"/>
            </w:rPr>
            <w:instrText xml:space="preserve"> </w:instrText>
          </w:r>
          <w:r>
            <w:instrText xml:space="preserve">PAGEREF _Toc191861459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14:paraId="79E10195">
          <w:pPr>
            <w:pStyle w:val="17"/>
            <w:rPr>
              <w:rFonts w:hint="eastAsia" w:asciiTheme="minorHAnsi" w:hAnsiTheme="minorHAnsi" w:eastAsiaTheme="minorEastAsia" w:cstheme="minorBidi"/>
              <w:kern w:val="2"/>
              <w:sz w:val="22"/>
              <w:szCs w:val="24"/>
              <w14:ligatures w14:val="standardContextual"/>
            </w:rPr>
          </w:pPr>
          <w:r>
            <w:fldChar w:fldCharType="begin"/>
          </w:r>
          <w:r>
            <w:instrText xml:space="preserve"> HYPERLINK \l "_Toc191861460" </w:instrText>
          </w:r>
          <w:r>
            <w:fldChar w:fldCharType="separate"/>
          </w:r>
          <w:r>
            <w:rPr>
              <w:rStyle w:val="29"/>
              <w:rFonts w:hint="eastAsia"/>
              <w:snapToGrid w:val="0"/>
              <w:color w:val="auto"/>
            </w:rPr>
            <w:t>二、 建设项目工程分析</w:t>
          </w:r>
          <w:r>
            <w:rPr>
              <w:rFonts w:hint="eastAsia"/>
            </w:rPr>
            <w:tab/>
          </w:r>
          <w:r>
            <w:rPr>
              <w:rFonts w:hint="eastAsia"/>
            </w:rPr>
            <w:fldChar w:fldCharType="begin"/>
          </w:r>
          <w:r>
            <w:rPr>
              <w:rFonts w:hint="eastAsia"/>
            </w:rPr>
            <w:instrText xml:space="preserve"> </w:instrText>
          </w:r>
          <w:r>
            <w:instrText xml:space="preserve">PAGEREF _Toc191861460 \h</w:instrText>
          </w:r>
          <w:r>
            <w:rPr>
              <w:rFonts w:hint="eastAsia"/>
            </w:rPr>
            <w:instrText xml:space="preserve"> </w:instrText>
          </w:r>
          <w:r>
            <w:rPr>
              <w:rFonts w:hint="eastAsia"/>
            </w:rPr>
            <w:fldChar w:fldCharType="separate"/>
          </w:r>
          <w:r>
            <w:t>9</w:t>
          </w:r>
          <w:r>
            <w:rPr>
              <w:rFonts w:hint="eastAsia"/>
            </w:rPr>
            <w:fldChar w:fldCharType="end"/>
          </w:r>
          <w:r>
            <w:rPr>
              <w:rFonts w:hint="eastAsia"/>
            </w:rPr>
            <w:fldChar w:fldCharType="end"/>
          </w:r>
        </w:p>
        <w:p w14:paraId="4806A651">
          <w:pPr>
            <w:pStyle w:val="17"/>
            <w:rPr>
              <w:rFonts w:hint="eastAsia" w:asciiTheme="minorHAnsi" w:hAnsiTheme="minorHAnsi" w:eastAsiaTheme="minorEastAsia" w:cstheme="minorBidi"/>
              <w:kern w:val="2"/>
              <w:sz w:val="22"/>
              <w:szCs w:val="24"/>
              <w14:ligatures w14:val="standardContextual"/>
            </w:rPr>
          </w:pPr>
          <w:r>
            <w:fldChar w:fldCharType="begin"/>
          </w:r>
          <w:r>
            <w:instrText xml:space="preserve"> HYPERLINK \l "_Toc191861461" </w:instrText>
          </w:r>
          <w:r>
            <w:fldChar w:fldCharType="separate"/>
          </w:r>
          <w:r>
            <w:rPr>
              <w:rStyle w:val="29"/>
              <w:rFonts w:hint="eastAsia"/>
              <w:snapToGrid w:val="0"/>
              <w:color w:val="auto"/>
            </w:rPr>
            <w:t>三、 区域环境质量现状、环境保护目标及评价标准</w:t>
          </w:r>
          <w:r>
            <w:rPr>
              <w:rFonts w:hint="eastAsia"/>
            </w:rPr>
            <w:tab/>
          </w:r>
          <w:r>
            <w:rPr>
              <w:rFonts w:hint="eastAsia"/>
            </w:rPr>
            <w:fldChar w:fldCharType="begin"/>
          </w:r>
          <w:r>
            <w:rPr>
              <w:rFonts w:hint="eastAsia"/>
            </w:rPr>
            <w:instrText xml:space="preserve"> </w:instrText>
          </w:r>
          <w:r>
            <w:instrText xml:space="preserve">PAGEREF _Toc191861461 \h</w:instrText>
          </w:r>
          <w:r>
            <w:rPr>
              <w:rFonts w:hint="eastAsia"/>
            </w:rPr>
            <w:instrText xml:space="preserve"> </w:instrText>
          </w:r>
          <w:r>
            <w:rPr>
              <w:rFonts w:hint="eastAsia"/>
            </w:rPr>
            <w:fldChar w:fldCharType="separate"/>
          </w:r>
          <w:r>
            <w:t>24</w:t>
          </w:r>
          <w:r>
            <w:rPr>
              <w:rFonts w:hint="eastAsia"/>
            </w:rPr>
            <w:fldChar w:fldCharType="end"/>
          </w:r>
          <w:r>
            <w:rPr>
              <w:rFonts w:hint="eastAsia"/>
            </w:rPr>
            <w:fldChar w:fldCharType="end"/>
          </w:r>
        </w:p>
        <w:p w14:paraId="42274E90">
          <w:pPr>
            <w:pStyle w:val="17"/>
            <w:rPr>
              <w:rFonts w:hint="eastAsia" w:asciiTheme="minorHAnsi" w:hAnsiTheme="minorHAnsi" w:eastAsiaTheme="minorEastAsia" w:cstheme="minorBidi"/>
              <w:kern w:val="2"/>
              <w:sz w:val="22"/>
              <w:szCs w:val="24"/>
              <w14:ligatures w14:val="standardContextual"/>
            </w:rPr>
          </w:pPr>
          <w:r>
            <w:fldChar w:fldCharType="begin"/>
          </w:r>
          <w:r>
            <w:instrText xml:space="preserve"> HYPERLINK \l "_Toc191861462" </w:instrText>
          </w:r>
          <w:r>
            <w:fldChar w:fldCharType="separate"/>
          </w:r>
          <w:r>
            <w:rPr>
              <w:rStyle w:val="29"/>
              <w:rFonts w:hint="eastAsia"/>
              <w:snapToGrid w:val="0"/>
              <w:color w:val="auto"/>
            </w:rPr>
            <w:t>四、 主要环境影响和保护措施</w:t>
          </w:r>
          <w:r>
            <w:rPr>
              <w:rFonts w:hint="eastAsia"/>
            </w:rPr>
            <w:tab/>
          </w:r>
          <w:r>
            <w:rPr>
              <w:rFonts w:hint="eastAsia"/>
            </w:rPr>
            <w:fldChar w:fldCharType="begin"/>
          </w:r>
          <w:r>
            <w:rPr>
              <w:rFonts w:hint="eastAsia"/>
            </w:rPr>
            <w:instrText xml:space="preserve"> </w:instrText>
          </w:r>
          <w:r>
            <w:instrText xml:space="preserve">PAGEREF _Toc191861462 \h</w:instrText>
          </w:r>
          <w:r>
            <w:rPr>
              <w:rFonts w:hint="eastAsia"/>
            </w:rPr>
            <w:instrText xml:space="preserve"> </w:instrText>
          </w:r>
          <w:r>
            <w:rPr>
              <w:rFonts w:hint="eastAsia"/>
            </w:rPr>
            <w:fldChar w:fldCharType="separate"/>
          </w:r>
          <w:r>
            <w:t>29</w:t>
          </w:r>
          <w:r>
            <w:rPr>
              <w:rFonts w:hint="eastAsia"/>
            </w:rPr>
            <w:fldChar w:fldCharType="end"/>
          </w:r>
          <w:r>
            <w:rPr>
              <w:rFonts w:hint="eastAsia"/>
            </w:rPr>
            <w:fldChar w:fldCharType="end"/>
          </w:r>
        </w:p>
        <w:p w14:paraId="78FDBBAE">
          <w:pPr>
            <w:pStyle w:val="17"/>
            <w:rPr>
              <w:rFonts w:hint="eastAsia" w:asciiTheme="minorHAnsi" w:hAnsiTheme="minorHAnsi" w:eastAsiaTheme="minorEastAsia" w:cstheme="minorBidi"/>
              <w:kern w:val="2"/>
              <w:sz w:val="22"/>
              <w:szCs w:val="24"/>
              <w14:ligatures w14:val="standardContextual"/>
            </w:rPr>
          </w:pPr>
          <w:r>
            <w:fldChar w:fldCharType="begin"/>
          </w:r>
          <w:r>
            <w:instrText xml:space="preserve"> HYPERLINK \l "_Toc191861463" </w:instrText>
          </w:r>
          <w:r>
            <w:fldChar w:fldCharType="separate"/>
          </w:r>
          <w:r>
            <w:rPr>
              <w:rStyle w:val="29"/>
              <w:rFonts w:hint="eastAsia"/>
              <w:snapToGrid w:val="0"/>
              <w:color w:val="auto"/>
            </w:rPr>
            <w:t>五、 环境保护措施监督检查清单</w:t>
          </w:r>
          <w:r>
            <w:rPr>
              <w:rFonts w:hint="eastAsia"/>
            </w:rPr>
            <w:tab/>
          </w:r>
          <w:r>
            <w:rPr>
              <w:rFonts w:hint="eastAsia"/>
            </w:rPr>
            <w:fldChar w:fldCharType="begin"/>
          </w:r>
          <w:r>
            <w:rPr>
              <w:rFonts w:hint="eastAsia"/>
            </w:rPr>
            <w:instrText xml:space="preserve"> </w:instrText>
          </w:r>
          <w:r>
            <w:instrText xml:space="preserve">PAGEREF _Toc191861463 \h</w:instrText>
          </w:r>
          <w:r>
            <w:rPr>
              <w:rFonts w:hint="eastAsia"/>
            </w:rPr>
            <w:instrText xml:space="preserve"> </w:instrText>
          </w:r>
          <w:r>
            <w:rPr>
              <w:rFonts w:hint="eastAsia"/>
            </w:rPr>
            <w:fldChar w:fldCharType="separate"/>
          </w:r>
          <w:r>
            <w:t>58</w:t>
          </w:r>
          <w:r>
            <w:rPr>
              <w:rFonts w:hint="eastAsia"/>
            </w:rPr>
            <w:fldChar w:fldCharType="end"/>
          </w:r>
          <w:r>
            <w:rPr>
              <w:rFonts w:hint="eastAsia"/>
            </w:rPr>
            <w:fldChar w:fldCharType="end"/>
          </w:r>
        </w:p>
        <w:p w14:paraId="39160C74">
          <w:pPr>
            <w:pStyle w:val="17"/>
            <w:rPr>
              <w:rFonts w:hint="eastAsia" w:asciiTheme="minorHAnsi" w:hAnsiTheme="minorHAnsi" w:eastAsiaTheme="minorEastAsia" w:cstheme="minorBidi"/>
              <w:kern w:val="2"/>
              <w:sz w:val="22"/>
              <w:szCs w:val="24"/>
              <w14:ligatures w14:val="standardContextual"/>
            </w:rPr>
          </w:pPr>
          <w:r>
            <w:fldChar w:fldCharType="begin"/>
          </w:r>
          <w:r>
            <w:instrText xml:space="preserve"> HYPERLINK \l "_Toc191861464" </w:instrText>
          </w:r>
          <w:r>
            <w:fldChar w:fldCharType="separate"/>
          </w:r>
          <w:r>
            <w:rPr>
              <w:rStyle w:val="29"/>
              <w:rFonts w:hint="eastAsia"/>
              <w:snapToGrid w:val="0"/>
              <w:color w:val="auto"/>
            </w:rPr>
            <w:t>六、 结论</w:t>
          </w:r>
          <w:r>
            <w:rPr>
              <w:rFonts w:hint="eastAsia"/>
            </w:rPr>
            <w:tab/>
          </w:r>
          <w:r>
            <w:rPr>
              <w:rFonts w:hint="eastAsia"/>
            </w:rPr>
            <w:fldChar w:fldCharType="begin"/>
          </w:r>
          <w:r>
            <w:rPr>
              <w:rFonts w:hint="eastAsia"/>
            </w:rPr>
            <w:instrText xml:space="preserve"> </w:instrText>
          </w:r>
          <w:r>
            <w:instrText xml:space="preserve">PAGEREF _Toc191861464 \h</w:instrText>
          </w:r>
          <w:r>
            <w:rPr>
              <w:rFonts w:hint="eastAsia"/>
            </w:rPr>
            <w:instrText xml:space="preserve"> </w:instrText>
          </w:r>
          <w:r>
            <w:rPr>
              <w:rFonts w:hint="eastAsia"/>
            </w:rPr>
            <w:fldChar w:fldCharType="separate"/>
          </w:r>
          <w:r>
            <w:t>60</w:t>
          </w:r>
          <w:r>
            <w:rPr>
              <w:rFonts w:hint="eastAsia"/>
            </w:rPr>
            <w:fldChar w:fldCharType="end"/>
          </w:r>
          <w:r>
            <w:rPr>
              <w:rFonts w:hint="eastAsia"/>
            </w:rPr>
            <w:fldChar w:fldCharType="end"/>
          </w:r>
        </w:p>
        <w:p w14:paraId="30092D50">
          <w:pPr>
            <w:pStyle w:val="3"/>
            <w:ind w:firstLine="480"/>
          </w:pPr>
          <w:r>
            <w:fldChar w:fldCharType="end"/>
          </w:r>
        </w:p>
      </w:sdtContent>
    </w:sdt>
    <w:p w14:paraId="22449E19">
      <w:pPr>
        <w:pStyle w:val="3"/>
        <w:ind w:firstLine="480"/>
      </w:pPr>
    </w:p>
    <w:p w14:paraId="613979E9">
      <w:pPr>
        <w:pStyle w:val="3"/>
        <w:ind w:firstLine="480"/>
      </w:pPr>
      <w:r>
        <w:rPr>
          <w:rFonts w:hint="eastAsia"/>
        </w:rPr>
        <w:t>附图</w:t>
      </w:r>
    </w:p>
    <w:p w14:paraId="341928EE">
      <w:pPr>
        <w:pStyle w:val="3"/>
        <w:ind w:firstLine="480"/>
      </w:pPr>
      <w:r>
        <w:rPr>
          <w:rFonts w:hint="eastAsia"/>
        </w:rPr>
        <w:t>附图1:地理位置图</w:t>
      </w:r>
    </w:p>
    <w:p w14:paraId="7506CC96">
      <w:pPr>
        <w:pStyle w:val="3"/>
        <w:ind w:firstLine="480"/>
      </w:pPr>
    </w:p>
    <w:p w14:paraId="1E4881E4">
      <w:pPr>
        <w:pStyle w:val="3"/>
        <w:ind w:firstLine="480"/>
      </w:pPr>
    </w:p>
    <w:p w14:paraId="39F88971">
      <w:pPr>
        <w:pStyle w:val="3"/>
        <w:ind w:firstLine="480"/>
      </w:pPr>
    </w:p>
    <w:p w14:paraId="176107DE">
      <w:pPr>
        <w:pStyle w:val="3"/>
        <w:ind w:firstLine="480"/>
      </w:pPr>
    </w:p>
    <w:p w14:paraId="7D9F9C2D">
      <w:pPr>
        <w:pStyle w:val="3"/>
        <w:ind w:firstLine="480"/>
      </w:pPr>
    </w:p>
    <w:p w14:paraId="3A49D7BD">
      <w:pPr>
        <w:pStyle w:val="3"/>
        <w:ind w:firstLine="480"/>
        <w:sectPr>
          <w:pgSz w:w="11906" w:h="16838"/>
          <w:pgMar w:top="1701" w:right="1531" w:bottom="1701" w:left="1531" w:header="851" w:footer="1077" w:gutter="0"/>
          <w:pgNumType w:start="1"/>
          <w:cols w:space="720" w:num="1"/>
          <w:docGrid w:linePitch="312" w:charSpace="0"/>
        </w:sectPr>
      </w:pPr>
    </w:p>
    <w:p w14:paraId="3DE63870">
      <w:pPr>
        <w:pStyle w:val="2"/>
        <w:rPr>
          <w:snapToGrid w:val="0"/>
        </w:rPr>
      </w:pPr>
      <w:bookmarkStart w:id="10" w:name="_Toc175609267"/>
      <w:bookmarkStart w:id="11" w:name="_Toc191861459"/>
      <w:bookmarkStart w:id="12" w:name="_Ref192707971"/>
      <w:r>
        <w:rPr>
          <w:rFonts w:hint="eastAsia"/>
          <w:snapToGrid w:val="0"/>
        </w:rPr>
        <w:t>建设项目基本情况</w:t>
      </w:r>
      <w:bookmarkEnd w:id="10"/>
      <w:bookmarkEnd w:id="11"/>
      <w:bookmarkEnd w:id="12"/>
    </w:p>
    <w:tbl>
      <w:tblPr>
        <w:tblStyle w:val="2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726"/>
        <w:gridCol w:w="796"/>
        <w:gridCol w:w="2087"/>
        <w:gridCol w:w="1655"/>
        <w:gridCol w:w="3068"/>
      </w:tblGrid>
      <w:tr w14:paraId="4B1DA8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14" w:type="dxa"/>
            <w:gridSpan w:val="2"/>
            <w:tcMar>
              <w:top w:w="16" w:type="dxa"/>
              <w:left w:w="16" w:type="dxa"/>
              <w:right w:w="16" w:type="dxa"/>
            </w:tcMar>
            <w:vAlign w:val="center"/>
          </w:tcPr>
          <w:p w14:paraId="4410052B">
            <w:pPr>
              <w:snapToGrid w:val="0"/>
              <w:jc w:val="center"/>
              <w:rPr>
                <w:rFonts w:cs="宋体"/>
                <w:sz w:val="24"/>
              </w:rPr>
            </w:pPr>
            <w:r>
              <w:rPr>
                <w:rFonts w:hint="eastAsia" w:cs="宋体"/>
                <w:sz w:val="24"/>
              </w:rPr>
              <w:t>建设项目名称</w:t>
            </w:r>
          </w:p>
        </w:tc>
        <w:tc>
          <w:tcPr>
            <w:tcW w:w="6772" w:type="dxa"/>
            <w:gridSpan w:val="3"/>
            <w:vAlign w:val="center"/>
          </w:tcPr>
          <w:p w14:paraId="35A30C5A">
            <w:pPr>
              <w:snapToGrid w:val="0"/>
              <w:jc w:val="center"/>
              <w:rPr>
                <w:rFonts w:cs="宋体"/>
                <w:sz w:val="24"/>
                <w:szCs w:val="24"/>
              </w:rPr>
            </w:pPr>
            <w:r>
              <w:rPr>
                <w:rFonts w:hint="eastAsia" w:cs="宋体"/>
                <w:sz w:val="24"/>
                <w:szCs w:val="24"/>
              </w:rPr>
              <w:t>马来西亚中小企业集聚区标准厂房及配套设施建设项目子项工程</w:t>
            </w:r>
          </w:p>
        </w:tc>
      </w:tr>
      <w:tr w14:paraId="539D24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14" w:type="dxa"/>
            <w:gridSpan w:val="2"/>
            <w:tcMar>
              <w:top w:w="16" w:type="dxa"/>
              <w:left w:w="16" w:type="dxa"/>
              <w:right w:w="16" w:type="dxa"/>
            </w:tcMar>
            <w:vAlign w:val="center"/>
          </w:tcPr>
          <w:p w14:paraId="4BD01507">
            <w:pPr>
              <w:snapToGrid w:val="0"/>
              <w:jc w:val="center"/>
              <w:rPr>
                <w:rFonts w:cs="宋体"/>
                <w:sz w:val="24"/>
              </w:rPr>
            </w:pPr>
            <w:r>
              <w:rPr>
                <w:rFonts w:hint="eastAsia" w:cs="宋体"/>
                <w:sz w:val="24"/>
              </w:rPr>
              <w:t>项目代码</w:t>
            </w:r>
          </w:p>
        </w:tc>
        <w:tc>
          <w:tcPr>
            <w:tcW w:w="6772" w:type="dxa"/>
            <w:gridSpan w:val="3"/>
            <w:vAlign w:val="center"/>
          </w:tcPr>
          <w:p w14:paraId="08C39E50">
            <w:pPr>
              <w:snapToGrid w:val="0"/>
              <w:jc w:val="center"/>
              <w:rPr>
                <w:rFonts w:cs="宋体"/>
                <w:sz w:val="24"/>
                <w:szCs w:val="24"/>
              </w:rPr>
            </w:pPr>
            <w:r>
              <w:rPr>
                <w:rFonts w:hint="eastAsia" w:cs="宋体"/>
                <w:sz w:val="24"/>
                <w:szCs w:val="24"/>
              </w:rPr>
              <w:t>2411-450704-04-01-633348</w:t>
            </w:r>
          </w:p>
        </w:tc>
      </w:tr>
      <w:tr w14:paraId="71A290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14" w:type="dxa"/>
            <w:gridSpan w:val="2"/>
            <w:tcMar>
              <w:top w:w="16" w:type="dxa"/>
              <w:left w:w="16" w:type="dxa"/>
              <w:right w:w="16" w:type="dxa"/>
            </w:tcMar>
            <w:vAlign w:val="center"/>
          </w:tcPr>
          <w:p w14:paraId="4E95C55D">
            <w:pPr>
              <w:snapToGrid w:val="0"/>
              <w:jc w:val="center"/>
              <w:rPr>
                <w:rFonts w:cs="宋体"/>
                <w:sz w:val="24"/>
              </w:rPr>
            </w:pPr>
            <w:r>
              <w:rPr>
                <w:rFonts w:hint="eastAsia" w:cs="宋体"/>
                <w:sz w:val="24"/>
              </w:rPr>
              <w:t>建设单位联系人</w:t>
            </w:r>
          </w:p>
        </w:tc>
        <w:tc>
          <w:tcPr>
            <w:tcW w:w="2075" w:type="dxa"/>
            <w:vAlign w:val="center"/>
          </w:tcPr>
          <w:p w14:paraId="62C14E8F">
            <w:pPr>
              <w:snapToGrid w:val="0"/>
              <w:jc w:val="center"/>
              <w:rPr>
                <w:rFonts w:cs="宋体"/>
                <w:sz w:val="24"/>
                <w:szCs w:val="24"/>
              </w:rPr>
            </w:pPr>
            <w:r>
              <w:rPr>
                <w:rFonts w:hint="eastAsia" w:cs="宋体"/>
                <w:sz w:val="24"/>
              </w:rPr>
              <w:t>劳光盛</w:t>
            </w:r>
          </w:p>
        </w:tc>
        <w:tc>
          <w:tcPr>
            <w:tcW w:w="1646" w:type="dxa"/>
            <w:vAlign w:val="center"/>
          </w:tcPr>
          <w:p w14:paraId="2CEFB29F">
            <w:pPr>
              <w:snapToGrid w:val="0"/>
              <w:jc w:val="center"/>
              <w:rPr>
                <w:rFonts w:cs="宋体"/>
                <w:sz w:val="24"/>
                <w:szCs w:val="24"/>
              </w:rPr>
            </w:pPr>
            <w:r>
              <w:rPr>
                <w:rFonts w:hint="eastAsia" w:cs="宋体"/>
                <w:sz w:val="24"/>
                <w:szCs w:val="24"/>
              </w:rPr>
              <w:t>联系方式</w:t>
            </w:r>
          </w:p>
        </w:tc>
        <w:tc>
          <w:tcPr>
            <w:tcW w:w="3051" w:type="dxa"/>
            <w:vAlign w:val="center"/>
          </w:tcPr>
          <w:p w14:paraId="02A43C1B">
            <w:pPr>
              <w:snapToGrid w:val="0"/>
              <w:jc w:val="center"/>
              <w:rPr>
                <w:rFonts w:cs="宋体"/>
                <w:sz w:val="24"/>
                <w:szCs w:val="24"/>
              </w:rPr>
            </w:pPr>
            <w:r>
              <w:rPr>
                <w:rFonts w:hint="eastAsia" w:cs="宋体"/>
                <w:sz w:val="24"/>
                <w:szCs w:val="24"/>
              </w:rPr>
              <w:t>13387775201</w:t>
            </w:r>
          </w:p>
        </w:tc>
      </w:tr>
      <w:tr w14:paraId="1ADF61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14" w:type="dxa"/>
            <w:gridSpan w:val="2"/>
            <w:tcMar>
              <w:top w:w="16" w:type="dxa"/>
              <w:left w:w="16" w:type="dxa"/>
              <w:right w:w="16" w:type="dxa"/>
            </w:tcMar>
            <w:vAlign w:val="center"/>
          </w:tcPr>
          <w:p w14:paraId="047E38EC">
            <w:pPr>
              <w:snapToGrid w:val="0"/>
              <w:jc w:val="center"/>
              <w:rPr>
                <w:rFonts w:cs="宋体"/>
                <w:sz w:val="24"/>
              </w:rPr>
            </w:pPr>
            <w:r>
              <w:rPr>
                <w:rFonts w:hint="eastAsia" w:cs="宋体"/>
                <w:sz w:val="24"/>
              </w:rPr>
              <w:t>建设地点</w:t>
            </w:r>
          </w:p>
        </w:tc>
        <w:tc>
          <w:tcPr>
            <w:tcW w:w="6772" w:type="dxa"/>
            <w:gridSpan w:val="3"/>
            <w:vAlign w:val="center"/>
          </w:tcPr>
          <w:p w14:paraId="795A5E44">
            <w:pPr>
              <w:snapToGrid w:val="0"/>
              <w:jc w:val="center"/>
              <w:rPr>
                <w:rFonts w:cs="宋体"/>
                <w:sz w:val="24"/>
                <w:szCs w:val="24"/>
              </w:rPr>
            </w:pPr>
            <w:r>
              <w:rPr>
                <w:rFonts w:hint="eastAsia" w:cs="宋体"/>
                <w:sz w:val="24"/>
                <w:szCs w:val="24"/>
              </w:rPr>
              <w:t>中马钦州产业园区马莱大道以北片区，东临六钦高速延长线，西至锦绣大道，南起马莱大道，北至马淑路</w:t>
            </w:r>
          </w:p>
        </w:tc>
      </w:tr>
      <w:tr w14:paraId="1D7E19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14" w:type="dxa"/>
            <w:gridSpan w:val="2"/>
            <w:tcMar>
              <w:top w:w="16" w:type="dxa"/>
              <w:left w:w="16" w:type="dxa"/>
              <w:right w:w="16" w:type="dxa"/>
            </w:tcMar>
            <w:vAlign w:val="center"/>
          </w:tcPr>
          <w:p w14:paraId="069FA23D">
            <w:pPr>
              <w:snapToGrid w:val="0"/>
              <w:jc w:val="center"/>
              <w:rPr>
                <w:rFonts w:cs="宋体"/>
                <w:sz w:val="24"/>
              </w:rPr>
            </w:pPr>
            <w:r>
              <w:rPr>
                <w:rFonts w:hint="eastAsia" w:cs="宋体"/>
                <w:sz w:val="24"/>
              </w:rPr>
              <w:t>地理坐标</w:t>
            </w:r>
          </w:p>
        </w:tc>
        <w:tc>
          <w:tcPr>
            <w:tcW w:w="6772" w:type="dxa"/>
            <w:gridSpan w:val="3"/>
            <w:vAlign w:val="center"/>
          </w:tcPr>
          <w:p w14:paraId="351FBC0D">
            <w:pPr>
              <w:snapToGrid w:val="0"/>
              <w:jc w:val="center"/>
              <w:rPr>
                <w:sz w:val="24"/>
                <w:szCs w:val="24"/>
              </w:rPr>
            </w:pPr>
            <w:r>
              <w:rPr>
                <w:rFonts w:hint="eastAsia"/>
                <w:sz w:val="24"/>
                <w:szCs w:val="24"/>
              </w:rPr>
              <w:t>东经108°41′34.990″</w:t>
            </w:r>
            <w:r>
              <w:rPr>
                <w:sz w:val="24"/>
                <w:szCs w:val="24"/>
              </w:rPr>
              <w:t>，</w:t>
            </w:r>
            <w:r>
              <w:rPr>
                <w:rFonts w:hint="eastAsia"/>
                <w:sz w:val="24"/>
                <w:szCs w:val="24"/>
              </w:rPr>
              <w:t>北纬21°47′51.511″</w:t>
            </w:r>
          </w:p>
        </w:tc>
      </w:tr>
      <w:tr w14:paraId="548F6A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514" w:type="dxa"/>
            <w:gridSpan w:val="2"/>
            <w:tcMar>
              <w:top w:w="16" w:type="dxa"/>
              <w:left w:w="16" w:type="dxa"/>
              <w:right w:w="16" w:type="dxa"/>
            </w:tcMar>
            <w:vAlign w:val="center"/>
          </w:tcPr>
          <w:p w14:paraId="09B4DBA9">
            <w:pPr>
              <w:snapToGrid w:val="0"/>
              <w:jc w:val="center"/>
              <w:rPr>
                <w:rFonts w:cs="宋体"/>
                <w:sz w:val="24"/>
              </w:rPr>
            </w:pPr>
            <w:r>
              <w:rPr>
                <w:rFonts w:hint="eastAsia" w:cs="宋体"/>
                <w:sz w:val="24"/>
              </w:rPr>
              <w:t>国民经济</w:t>
            </w:r>
          </w:p>
          <w:p w14:paraId="7A5B97F7">
            <w:pPr>
              <w:snapToGrid w:val="0"/>
              <w:jc w:val="center"/>
              <w:rPr>
                <w:rFonts w:cs="宋体"/>
                <w:sz w:val="24"/>
              </w:rPr>
            </w:pPr>
            <w:r>
              <w:rPr>
                <w:rFonts w:hint="eastAsia" w:cs="宋体"/>
                <w:sz w:val="24"/>
              </w:rPr>
              <w:t>行业类别</w:t>
            </w:r>
          </w:p>
        </w:tc>
        <w:tc>
          <w:tcPr>
            <w:tcW w:w="2075" w:type="dxa"/>
            <w:vAlign w:val="center"/>
          </w:tcPr>
          <w:p w14:paraId="26E1DA10">
            <w:pPr>
              <w:snapToGrid w:val="0"/>
              <w:jc w:val="center"/>
              <w:rPr>
                <w:rFonts w:cs="宋体"/>
                <w:sz w:val="24"/>
                <w:szCs w:val="24"/>
              </w:rPr>
            </w:pPr>
            <w:r>
              <w:rPr>
                <w:rFonts w:hint="eastAsia" w:cs="宋体"/>
                <w:sz w:val="24"/>
                <w:szCs w:val="24"/>
              </w:rPr>
              <w:t>D4430 热力生产和供应</w:t>
            </w:r>
          </w:p>
        </w:tc>
        <w:tc>
          <w:tcPr>
            <w:tcW w:w="1646" w:type="dxa"/>
            <w:vAlign w:val="center"/>
          </w:tcPr>
          <w:p w14:paraId="4177710D">
            <w:pPr>
              <w:snapToGrid w:val="0"/>
              <w:jc w:val="center"/>
              <w:rPr>
                <w:rFonts w:cs="宋体"/>
                <w:color w:val="auto"/>
                <w:sz w:val="24"/>
                <w:szCs w:val="24"/>
                <w:u w:val="single"/>
              </w:rPr>
            </w:pPr>
            <w:bookmarkStart w:id="13" w:name="_Hlk49843745"/>
            <w:r>
              <w:rPr>
                <w:rFonts w:hint="eastAsia" w:cs="宋体"/>
                <w:color w:val="auto"/>
                <w:sz w:val="24"/>
                <w:szCs w:val="24"/>
                <w:u w:val="single"/>
              </w:rPr>
              <w:t>建设项目</w:t>
            </w:r>
          </w:p>
          <w:p w14:paraId="1E38E660">
            <w:pPr>
              <w:snapToGrid w:val="0"/>
              <w:jc w:val="center"/>
              <w:rPr>
                <w:rFonts w:cs="宋体"/>
                <w:color w:val="auto"/>
                <w:sz w:val="24"/>
                <w:szCs w:val="24"/>
                <w:u w:val="single"/>
              </w:rPr>
            </w:pPr>
            <w:r>
              <w:rPr>
                <w:rFonts w:hint="eastAsia" w:cs="宋体"/>
                <w:color w:val="auto"/>
                <w:sz w:val="24"/>
                <w:szCs w:val="24"/>
                <w:u w:val="single"/>
              </w:rPr>
              <w:t>行业类别</w:t>
            </w:r>
            <w:bookmarkEnd w:id="13"/>
          </w:p>
        </w:tc>
        <w:tc>
          <w:tcPr>
            <w:tcW w:w="3051" w:type="dxa"/>
            <w:vAlign w:val="center"/>
          </w:tcPr>
          <w:p w14:paraId="74138F60">
            <w:pPr>
              <w:snapToGrid w:val="0"/>
              <w:rPr>
                <w:rFonts w:cs="宋体"/>
                <w:color w:val="auto"/>
                <w:sz w:val="24"/>
                <w:szCs w:val="24"/>
                <w:u w:val="single"/>
              </w:rPr>
            </w:pPr>
            <w:r>
              <w:rPr>
                <w:rFonts w:hint="eastAsia" w:cs="宋体"/>
                <w:color w:val="auto"/>
                <w:sz w:val="24"/>
                <w:szCs w:val="24"/>
                <w:u w:val="single"/>
              </w:rPr>
              <w:t>四十一、电力、热力生产和供应业-91热力生产和供应工程(包括建设单位自建自用的供热工程</w:t>
            </w:r>
            <w:r>
              <w:rPr>
                <w:rFonts w:hint="eastAsia"/>
                <w:color w:val="auto"/>
                <w:u w:val="single"/>
              </w:rPr>
              <w:t>)</w:t>
            </w:r>
          </w:p>
          <w:p w14:paraId="07EAC4E0">
            <w:pPr>
              <w:snapToGrid w:val="0"/>
              <w:rPr>
                <w:rFonts w:cs="宋体"/>
                <w:color w:val="auto"/>
                <w:sz w:val="24"/>
                <w:szCs w:val="24"/>
                <w:u w:val="single"/>
              </w:rPr>
            </w:pPr>
            <w:r>
              <w:rPr>
                <w:rFonts w:hint="eastAsia" w:cs="宋体"/>
                <w:color w:val="auto"/>
                <w:sz w:val="24"/>
                <w:szCs w:val="24"/>
                <w:u w:val="single"/>
              </w:rPr>
              <w:t>五十二、电、交通运输业、管道运输业-146城市（镇）管网及管廊建设-其他</w:t>
            </w:r>
          </w:p>
        </w:tc>
      </w:tr>
      <w:tr w14:paraId="22BB0B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514" w:type="dxa"/>
            <w:gridSpan w:val="2"/>
            <w:tcMar>
              <w:top w:w="16" w:type="dxa"/>
              <w:left w:w="16" w:type="dxa"/>
              <w:right w:w="16" w:type="dxa"/>
            </w:tcMar>
            <w:vAlign w:val="center"/>
          </w:tcPr>
          <w:p w14:paraId="1CEB8E17">
            <w:pPr>
              <w:snapToGrid w:val="0"/>
              <w:jc w:val="center"/>
              <w:rPr>
                <w:rFonts w:cs="宋体"/>
                <w:sz w:val="24"/>
              </w:rPr>
            </w:pPr>
            <w:r>
              <w:rPr>
                <w:rFonts w:hint="eastAsia" w:cs="宋体"/>
                <w:sz w:val="24"/>
              </w:rPr>
              <w:t>建设性质</w:t>
            </w:r>
          </w:p>
        </w:tc>
        <w:tc>
          <w:tcPr>
            <w:tcW w:w="2075" w:type="dxa"/>
            <w:vAlign w:val="center"/>
          </w:tcPr>
          <w:p w14:paraId="13B6B95D">
            <w:pPr>
              <w:jc w:val="left"/>
              <w:rPr>
                <w:rFonts w:cs="宋体"/>
                <w:sz w:val="24"/>
                <w:szCs w:val="24"/>
              </w:rPr>
            </w:pPr>
            <w:r>
              <w:rPr>
                <w:rFonts w:hint="eastAsia" w:cs="宋体"/>
                <w:sz w:val="24"/>
                <w:szCs w:val="24"/>
              </w:rPr>
              <w:t>□新建（迁建）</w:t>
            </w:r>
          </w:p>
          <w:p w14:paraId="63F1D051">
            <w:pPr>
              <w:jc w:val="left"/>
              <w:rPr>
                <w:rFonts w:cs="宋体"/>
                <w:sz w:val="24"/>
                <w:szCs w:val="24"/>
              </w:rPr>
            </w:pPr>
            <w:bookmarkStart w:id="14" w:name="OLE_LINK16"/>
            <w:r>
              <w:rPr>
                <w:rFonts w:hint="eastAsia" w:cs="宋体"/>
                <w:sz w:val="24"/>
                <w:szCs w:val="24"/>
              </w:rPr>
              <w:t>□</w:t>
            </w:r>
            <w:bookmarkEnd w:id="14"/>
            <w:r>
              <w:rPr>
                <w:rFonts w:hint="eastAsia" w:cs="宋体"/>
                <w:sz w:val="24"/>
                <w:szCs w:val="24"/>
              </w:rPr>
              <w:t>改建</w:t>
            </w:r>
          </w:p>
          <w:p w14:paraId="4ED1A1B8">
            <w:pPr>
              <w:jc w:val="left"/>
              <w:rPr>
                <w:rFonts w:cs="宋体"/>
                <w:sz w:val="24"/>
                <w:szCs w:val="24"/>
              </w:rPr>
            </w:pPr>
            <w:r>
              <w:rPr>
                <w:rFonts w:hint="eastAsia" w:cs="宋体"/>
                <w:sz w:val="24"/>
                <w:szCs w:val="24"/>
              </w:rPr>
              <w:t>□扩建</w:t>
            </w:r>
          </w:p>
          <w:p w14:paraId="5B35F811">
            <w:pPr>
              <w:jc w:val="left"/>
              <w:rPr>
                <w:rFonts w:cs="宋体"/>
                <w:sz w:val="24"/>
                <w:szCs w:val="24"/>
              </w:rPr>
            </w:pPr>
            <w:r>
              <w:rPr>
                <w:rFonts w:ascii="Segoe UI Symbol" w:hAnsi="Segoe UI Symbol" w:cs="Segoe UI Symbol"/>
                <w:sz w:val="24"/>
                <w:szCs w:val="24"/>
              </w:rPr>
              <w:t>☑</w:t>
            </w:r>
            <w:r>
              <w:rPr>
                <w:rFonts w:hint="eastAsia" w:cs="宋体"/>
                <w:sz w:val="24"/>
                <w:szCs w:val="24"/>
              </w:rPr>
              <w:t>技术改造</w:t>
            </w:r>
          </w:p>
        </w:tc>
        <w:tc>
          <w:tcPr>
            <w:tcW w:w="1646" w:type="dxa"/>
            <w:vAlign w:val="center"/>
          </w:tcPr>
          <w:p w14:paraId="407A976A">
            <w:pPr>
              <w:snapToGrid w:val="0"/>
              <w:jc w:val="center"/>
              <w:rPr>
                <w:rFonts w:cs="宋体"/>
                <w:sz w:val="24"/>
                <w:szCs w:val="24"/>
              </w:rPr>
            </w:pPr>
            <w:r>
              <w:rPr>
                <w:rFonts w:hint="eastAsia" w:cs="宋体"/>
                <w:sz w:val="24"/>
                <w:szCs w:val="24"/>
              </w:rPr>
              <w:t>建设项目</w:t>
            </w:r>
          </w:p>
          <w:p w14:paraId="3A0FA549">
            <w:pPr>
              <w:snapToGrid w:val="0"/>
              <w:jc w:val="center"/>
              <w:rPr>
                <w:rFonts w:cs="宋体"/>
                <w:sz w:val="24"/>
                <w:szCs w:val="24"/>
              </w:rPr>
            </w:pPr>
            <w:r>
              <w:rPr>
                <w:rFonts w:hint="eastAsia" w:cs="宋体"/>
                <w:sz w:val="24"/>
                <w:szCs w:val="24"/>
              </w:rPr>
              <w:t>申报情形</w:t>
            </w:r>
          </w:p>
        </w:tc>
        <w:tc>
          <w:tcPr>
            <w:tcW w:w="3051" w:type="dxa"/>
            <w:vAlign w:val="center"/>
          </w:tcPr>
          <w:p w14:paraId="0544AAF4">
            <w:pPr>
              <w:jc w:val="left"/>
              <w:rPr>
                <w:rFonts w:cs="宋体"/>
                <w:sz w:val="24"/>
                <w:szCs w:val="24"/>
              </w:rPr>
            </w:pPr>
            <w:r>
              <w:rPr>
                <w:rFonts w:ascii="Segoe UI Symbol" w:hAnsi="Segoe UI Symbol" w:cs="Segoe UI Symbol"/>
                <w:sz w:val="24"/>
                <w:szCs w:val="24"/>
              </w:rPr>
              <w:t>☑</w:t>
            </w:r>
            <w:r>
              <w:rPr>
                <w:rFonts w:hint="eastAsia" w:cs="宋体"/>
                <w:sz w:val="24"/>
                <w:szCs w:val="24"/>
              </w:rPr>
              <w:t>首次申报项目</w:t>
            </w:r>
            <w:r>
              <w:rPr>
                <w:rFonts w:cs="宋体"/>
                <w:sz w:val="24"/>
                <w:szCs w:val="24"/>
              </w:rPr>
              <w:t xml:space="preserve">             </w:t>
            </w:r>
          </w:p>
          <w:p w14:paraId="365F066B">
            <w:pPr>
              <w:jc w:val="left"/>
              <w:rPr>
                <w:rFonts w:cs="宋体"/>
                <w:sz w:val="24"/>
                <w:szCs w:val="24"/>
              </w:rPr>
            </w:pPr>
            <w:r>
              <w:rPr>
                <w:rFonts w:hint="eastAsia" w:cs="宋体"/>
                <w:sz w:val="24"/>
                <w:szCs w:val="24"/>
              </w:rPr>
              <w:t>□不予批准后再次申报项目</w:t>
            </w:r>
          </w:p>
          <w:p w14:paraId="7685FE0D">
            <w:pPr>
              <w:jc w:val="left"/>
              <w:rPr>
                <w:rFonts w:cs="宋体"/>
                <w:sz w:val="24"/>
                <w:szCs w:val="24"/>
              </w:rPr>
            </w:pPr>
            <w:r>
              <w:rPr>
                <w:rFonts w:hint="eastAsia" w:cs="宋体"/>
                <w:sz w:val="24"/>
                <w:szCs w:val="24"/>
              </w:rPr>
              <w:sym w:font="Wingdings 2" w:char="00A3"/>
            </w:r>
            <w:r>
              <w:rPr>
                <w:rFonts w:hint="eastAsia" w:cs="宋体"/>
                <w:sz w:val="24"/>
                <w:szCs w:val="24"/>
              </w:rPr>
              <w:t>超五年重新审核项目</w:t>
            </w:r>
            <w:r>
              <w:rPr>
                <w:rFonts w:cs="宋体"/>
                <w:sz w:val="24"/>
                <w:szCs w:val="24"/>
              </w:rPr>
              <w:t xml:space="preserve">     </w:t>
            </w:r>
          </w:p>
          <w:p w14:paraId="0D7027FF">
            <w:pPr>
              <w:jc w:val="left"/>
              <w:rPr>
                <w:rFonts w:cs="宋体"/>
                <w:sz w:val="24"/>
                <w:szCs w:val="24"/>
              </w:rPr>
            </w:pPr>
            <w:r>
              <w:rPr>
                <w:rFonts w:hint="eastAsia" w:cs="宋体"/>
                <w:sz w:val="24"/>
                <w:szCs w:val="24"/>
              </w:rPr>
              <w:t>□重大变动重新报批项目</w:t>
            </w:r>
          </w:p>
        </w:tc>
      </w:tr>
      <w:tr w14:paraId="5EB92F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514" w:type="dxa"/>
            <w:gridSpan w:val="2"/>
            <w:tcMar>
              <w:top w:w="16" w:type="dxa"/>
              <w:left w:w="16" w:type="dxa"/>
              <w:right w:w="16" w:type="dxa"/>
            </w:tcMar>
            <w:vAlign w:val="center"/>
          </w:tcPr>
          <w:p w14:paraId="52161C4B">
            <w:pPr>
              <w:snapToGrid w:val="0"/>
              <w:jc w:val="center"/>
              <w:rPr>
                <w:rFonts w:cs="宋体"/>
                <w:sz w:val="24"/>
              </w:rPr>
            </w:pPr>
            <w:r>
              <w:rPr>
                <w:rFonts w:hint="eastAsia" w:cs="宋体"/>
                <w:sz w:val="24"/>
              </w:rPr>
              <w:t>项目审批（核准</w:t>
            </w:r>
            <w:r>
              <w:rPr>
                <w:rFonts w:cs="宋体"/>
                <w:sz w:val="24"/>
              </w:rPr>
              <w:t>/</w:t>
            </w:r>
            <w:r>
              <w:rPr>
                <w:rFonts w:hint="eastAsia" w:cs="宋体"/>
                <w:sz w:val="24"/>
              </w:rPr>
              <w:t>备案）部门（选填）</w:t>
            </w:r>
          </w:p>
        </w:tc>
        <w:tc>
          <w:tcPr>
            <w:tcW w:w="2075" w:type="dxa"/>
            <w:vAlign w:val="center"/>
          </w:tcPr>
          <w:p w14:paraId="35485212">
            <w:pPr>
              <w:snapToGrid w:val="0"/>
              <w:jc w:val="center"/>
              <w:rPr>
                <w:rFonts w:cs="宋体"/>
                <w:sz w:val="24"/>
                <w:szCs w:val="24"/>
              </w:rPr>
            </w:pPr>
            <w:r>
              <w:rPr>
                <w:rFonts w:hint="eastAsia" w:cs="宋体"/>
                <w:sz w:val="24"/>
                <w:szCs w:val="24"/>
              </w:rPr>
              <w:t>中国(广西)自由贸易试验区钦州港片区行政审批局</w:t>
            </w:r>
          </w:p>
        </w:tc>
        <w:tc>
          <w:tcPr>
            <w:tcW w:w="1646" w:type="dxa"/>
            <w:vAlign w:val="center"/>
          </w:tcPr>
          <w:p w14:paraId="27853148">
            <w:pPr>
              <w:snapToGrid w:val="0"/>
              <w:jc w:val="center"/>
              <w:rPr>
                <w:rFonts w:cs="宋体"/>
                <w:sz w:val="24"/>
                <w:szCs w:val="24"/>
              </w:rPr>
            </w:pPr>
            <w:r>
              <w:rPr>
                <w:rFonts w:hint="eastAsia" w:cs="宋体"/>
                <w:sz w:val="24"/>
                <w:szCs w:val="24"/>
              </w:rPr>
              <w:t>项目审批（核准</w:t>
            </w:r>
            <w:r>
              <w:rPr>
                <w:rFonts w:cs="宋体"/>
                <w:sz w:val="24"/>
                <w:szCs w:val="24"/>
              </w:rPr>
              <w:t>/</w:t>
            </w:r>
            <w:r>
              <w:rPr>
                <w:rFonts w:hint="eastAsia" w:cs="宋体"/>
                <w:sz w:val="24"/>
                <w:szCs w:val="24"/>
              </w:rPr>
              <w:t>备案）文号（选填）</w:t>
            </w:r>
          </w:p>
        </w:tc>
        <w:tc>
          <w:tcPr>
            <w:tcW w:w="3051" w:type="dxa"/>
            <w:vAlign w:val="center"/>
          </w:tcPr>
          <w:p w14:paraId="3BC06395">
            <w:pPr>
              <w:snapToGrid w:val="0"/>
              <w:jc w:val="center"/>
              <w:rPr>
                <w:rFonts w:cs="宋体"/>
                <w:sz w:val="24"/>
                <w:szCs w:val="24"/>
              </w:rPr>
            </w:pPr>
            <w:r>
              <w:rPr>
                <w:rFonts w:hint="eastAsia" w:cs="宋体"/>
                <w:sz w:val="24"/>
                <w:szCs w:val="24"/>
              </w:rPr>
              <w:t>自贸钦审批设</w:t>
            </w:r>
            <w:r>
              <w:rPr>
                <w:rFonts w:hint="eastAsia" w:cs="宋体"/>
                <w:sz w:val="24"/>
                <w:szCs w:val="24"/>
                <w:lang w:eastAsia="zh-CN"/>
              </w:rPr>
              <w:t>〔2024〕40号</w:t>
            </w:r>
          </w:p>
        </w:tc>
      </w:tr>
      <w:tr w14:paraId="381F21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14" w:type="dxa"/>
            <w:gridSpan w:val="2"/>
            <w:tcMar>
              <w:top w:w="16" w:type="dxa"/>
              <w:left w:w="16" w:type="dxa"/>
              <w:right w:w="16" w:type="dxa"/>
            </w:tcMar>
            <w:vAlign w:val="center"/>
          </w:tcPr>
          <w:p w14:paraId="015E7DAA">
            <w:pPr>
              <w:snapToGrid w:val="0"/>
              <w:jc w:val="center"/>
              <w:rPr>
                <w:rFonts w:cs="宋体"/>
                <w:sz w:val="24"/>
              </w:rPr>
            </w:pPr>
            <w:r>
              <w:rPr>
                <w:rFonts w:hint="eastAsia" w:cs="宋体"/>
                <w:sz w:val="24"/>
              </w:rPr>
              <w:t>总投资（万元）</w:t>
            </w:r>
          </w:p>
        </w:tc>
        <w:tc>
          <w:tcPr>
            <w:tcW w:w="2075" w:type="dxa"/>
            <w:vAlign w:val="center"/>
          </w:tcPr>
          <w:p w14:paraId="2107944A">
            <w:pPr>
              <w:snapToGrid w:val="0"/>
              <w:jc w:val="center"/>
              <w:rPr>
                <w:rFonts w:cs="宋体"/>
                <w:sz w:val="24"/>
                <w:szCs w:val="24"/>
              </w:rPr>
            </w:pPr>
            <w:r>
              <w:rPr>
                <w:rFonts w:hint="eastAsia" w:cs="宋体"/>
                <w:sz w:val="24"/>
                <w:szCs w:val="24"/>
              </w:rPr>
              <w:t>8430.66</w:t>
            </w:r>
          </w:p>
        </w:tc>
        <w:tc>
          <w:tcPr>
            <w:tcW w:w="1646" w:type="dxa"/>
            <w:tcMar>
              <w:top w:w="16" w:type="dxa"/>
              <w:left w:w="16" w:type="dxa"/>
              <w:right w:w="16" w:type="dxa"/>
            </w:tcMar>
            <w:vAlign w:val="center"/>
          </w:tcPr>
          <w:p w14:paraId="3AD090D5">
            <w:pPr>
              <w:snapToGrid w:val="0"/>
              <w:jc w:val="center"/>
              <w:rPr>
                <w:rFonts w:cs="宋体"/>
                <w:sz w:val="24"/>
                <w:szCs w:val="24"/>
              </w:rPr>
            </w:pPr>
            <w:r>
              <w:rPr>
                <w:rFonts w:hint="eastAsia" w:cs="宋体"/>
                <w:sz w:val="24"/>
                <w:szCs w:val="24"/>
              </w:rPr>
              <w:t>环保投资（万元）</w:t>
            </w:r>
          </w:p>
        </w:tc>
        <w:tc>
          <w:tcPr>
            <w:tcW w:w="3051" w:type="dxa"/>
            <w:vAlign w:val="center"/>
          </w:tcPr>
          <w:p w14:paraId="6E511853">
            <w:pPr>
              <w:snapToGrid w:val="0"/>
              <w:jc w:val="center"/>
              <w:rPr>
                <w:sz w:val="24"/>
                <w:szCs w:val="24"/>
              </w:rPr>
            </w:pPr>
            <w:r>
              <w:rPr>
                <w:rFonts w:hint="eastAsia"/>
                <w:sz w:val="24"/>
                <w:szCs w:val="24"/>
              </w:rPr>
              <w:t>55</w:t>
            </w:r>
          </w:p>
        </w:tc>
      </w:tr>
      <w:tr w14:paraId="1E6871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14" w:type="dxa"/>
            <w:gridSpan w:val="2"/>
            <w:tcMar>
              <w:top w:w="16" w:type="dxa"/>
              <w:left w:w="16" w:type="dxa"/>
              <w:right w:w="16" w:type="dxa"/>
            </w:tcMar>
            <w:vAlign w:val="center"/>
          </w:tcPr>
          <w:p w14:paraId="1D5C2865">
            <w:pPr>
              <w:snapToGrid w:val="0"/>
              <w:jc w:val="center"/>
              <w:rPr>
                <w:rFonts w:cs="宋体"/>
                <w:sz w:val="24"/>
              </w:rPr>
            </w:pPr>
            <w:r>
              <w:rPr>
                <w:rFonts w:hint="eastAsia" w:cs="宋体"/>
                <w:sz w:val="24"/>
              </w:rPr>
              <w:t>环保投资占比（</w:t>
            </w:r>
            <w:r>
              <w:rPr>
                <w:rFonts w:cs="宋体"/>
                <w:sz w:val="24"/>
              </w:rPr>
              <w:t>%</w:t>
            </w:r>
            <w:r>
              <w:rPr>
                <w:rFonts w:hint="eastAsia" w:cs="宋体"/>
                <w:sz w:val="24"/>
              </w:rPr>
              <w:t>）</w:t>
            </w:r>
          </w:p>
        </w:tc>
        <w:tc>
          <w:tcPr>
            <w:tcW w:w="2075" w:type="dxa"/>
            <w:vAlign w:val="center"/>
          </w:tcPr>
          <w:p w14:paraId="73865ACB">
            <w:pPr>
              <w:snapToGrid w:val="0"/>
              <w:jc w:val="center"/>
              <w:rPr>
                <w:rFonts w:cs="宋体"/>
                <w:sz w:val="24"/>
                <w:szCs w:val="24"/>
              </w:rPr>
            </w:pPr>
            <w:r>
              <w:rPr>
                <w:rFonts w:hint="eastAsia" w:cs="宋体"/>
                <w:sz w:val="24"/>
                <w:szCs w:val="24"/>
              </w:rPr>
              <w:t>0.65</w:t>
            </w:r>
          </w:p>
        </w:tc>
        <w:tc>
          <w:tcPr>
            <w:tcW w:w="1646" w:type="dxa"/>
            <w:tcMar>
              <w:top w:w="16" w:type="dxa"/>
              <w:left w:w="16" w:type="dxa"/>
              <w:right w:w="16" w:type="dxa"/>
            </w:tcMar>
            <w:vAlign w:val="center"/>
          </w:tcPr>
          <w:p w14:paraId="04560F1E">
            <w:pPr>
              <w:snapToGrid w:val="0"/>
              <w:jc w:val="center"/>
              <w:rPr>
                <w:rFonts w:cs="宋体"/>
                <w:sz w:val="24"/>
                <w:szCs w:val="24"/>
              </w:rPr>
            </w:pPr>
            <w:r>
              <w:rPr>
                <w:rFonts w:hint="eastAsia" w:cs="宋体"/>
                <w:sz w:val="24"/>
                <w:szCs w:val="24"/>
              </w:rPr>
              <w:t>施工工期</w:t>
            </w:r>
          </w:p>
        </w:tc>
        <w:tc>
          <w:tcPr>
            <w:tcW w:w="3051" w:type="dxa"/>
            <w:vAlign w:val="center"/>
          </w:tcPr>
          <w:p w14:paraId="748E9EA1">
            <w:pPr>
              <w:snapToGrid w:val="0"/>
              <w:jc w:val="center"/>
              <w:rPr>
                <w:rFonts w:cs="宋体"/>
                <w:sz w:val="24"/>
                <w:szCs w:val="24"/>
              </w:rPr>
            </w:pPr>
            <w:r>
              <w:rPr>
                <w:rStyle w:val="48"/>
                <w:rFonts w:hint="eastAsia"/>
                <w:szCs w:val="24"/>
              </w:rPr>
              <w:t>8个月</w:t>
            </w:r>
          </w:p>
        </w:tc>
      </w:tr>
      <w:tr w14:paraId="2500FB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14" w:type="dxa"/>
            <w:gridSpan w:val="2"/>
            <w:tcMar>
              <w:top w:w="16" w:type="dxa"/>
              <w:left w:w="16" w:type="dxa"/>
              <w:right w:w="16" w:type="dxa"/>
            </w:tcMar>
            <w:vAlign w:val="center"/>
          </w:tcPr>
          <w:p w14:paraId="27CB0B17">
            <w:pPr>
              <w:snapToGrid w:val="0"/>
              <w:jc w:val="center"/>
              <w:rPr>
                <w:rFonts w:cs="宋体"/>
                <w:sz w:val="24"/>
              </w:rPr>
            </w:pPr>
            <w:r>
              <w:rPr>
                <w:rFonts w:hint="eastAsia" w:cs="宋体"/>
                <w:sz w:val="24"/>
              </w:rPr>
              <w:t>是否开工建设</w:t>
            </w:r>
          </w:p>
        </w:tc>
        <w:tc>
          <w:tcPr>
            <w:tcW w:w="2075" w:type="dxa"/>
            <w:vAlign w:val="center"/>
          </w:tcPr>
          <w:p w14:paraId="3375443A">
            <w:pPr>
              <w:snapToGrid w:val="0"/>
              <w:rPr>
                <w:rFonts w:cs="宋体"/>
                <w:sz w:val="24"/>
                <w:szCs w:val="24"/>
              </w:rPr>
            </w:pPr>
            <w:r>
              <w:rPr>
                <w:rFonts w:ascii="Segoe UI Symbol" w:hAnsi="Segoe UI Symbol" w:cs="Segoe UI Symbol"/>
                <w:sz w:val="24"/>
                <w:szCs w:val="24"/>
              </w:rPr>
              <w:t>☑</w:t>
            </w:r>
            <w:r>
              <w:rPr>
                <w:rFonts w:hint="eastAsia" w:cs="宋体"/>
                <w:sz w:val="24"/>
                <w:szCs w:val="24"/>
              </w:rPr>
              <w:t>否</w:t>
            </w:r>
          </w:p>
          <w:p w14:paraId="34C73ADD">
            <w:pPr>
              <w:snapToGrid w:val="0"/>
              <w:rPr>
                <w:rFonts w:cs="宋体"/>
                <w:sz w:val="24"/>
                <w:szCs w:val="24"/>
              </w:rPr>
            </w:pPr>
            <w:r>
              <w:rPr>
                <w:rFonts w:cs="宋体"/>
                <w:sz w:val="24"/>
                <w:szCs w:val="24"/>
              </w:rPr>
              <w:sym w:font="Wingdings 2" w:char="F0A3"/>
            </w:r>
            <w:r>
              <w:rPr>
                <w:rFonts w:hint="eastAsia" w:cs="宋体"/>
                <w:sz w:val="24"/>
                <w:szCs w:val="24"/>
              </w:rPr>
              <w:t>是</w:t>
            </w:r>
          </w:p>
        </w:tc>
        <w:tc>
          <w:tcPr>
            <w:tcW w:w="1646" w:type="dxa"/>
            <w:tcMar>
              <w:top w:w="16" w:type="dxa"/>
              <w:left w:w="16" w:type="dxa"/>
              <w:right w:w="16" w:type="dxa"/>
            </w:tcMar>
            <w:vAlign w:val="center"/>
          </w:tcPr>
          <w:p w14:paraId="5A2A094C">
            <w:pPr>
              <w:snapToGrid w:val="0"/>
              <w:jc w:val="center"/>
              <w:rPr>
                <w:rFonts w:cs="宋体"/>
                <w:spacing w:val="-6"/>
                <w:sz w:val="24"/>
                <w:szCs w:val="24"/>
              </w:rPr>
            </w:pPr>
            <w:r>
              <w:rPr>
                <w:rFonts w:hint="eastAsia" w:cs="宋体"/>
                <w:spacing w:val="-6"/>
                <w:sz w:val="24"/>
                <w:szCs w:val="24"/>
              </w:rPr>
              <w:t>用地（用海）</w:t>
            </w:r>
          </w:p>
          <w:p w14:paraId="19B3A0B9">
            <w:pPr>
              <w:snapToGrid w:val="0"/>
              <w:jc w:val="center"/>
              <w:rPr>
                <w:rFonts w:cs="宋体"/>
                <w:sz w:val="24"/>
                <w:szCs w:val="24"/>
              </w:rPr>
            </w:pPr>
            <w:r>
              <w:rPr>
                <w:rFonts w:hint="eastAsia" w:cs="宋体"/>
                <w:spacing w:val="-6"/>
                <w:sz w:val="24"/>
                <w:szCs w:val="24"/>
              </w:rPr>
              <w:t>面积（</w:t>
            </w:r>
            <w:r>
              <w:rPr>
                <w:rStyle w:val="48"/>
                <w:szCs w:val="24"/>
              </w:rPr>
              <w:t>m</w:t>
            </w:r>
            <w:r>
              <w:rPr>
                <w:rStyle w:val="48"/>
                <w:szCs w:val="24"/>
                <w:vertAlign w:val="superscript"/>
              </w:rPr>
              <w:t>2</w:t>
            </w:r>
            <w:r>
              <w:rPr>
                <w:rFonts w:hint="eastAsia" w:cs="宋体"/>
                <w:spacing w:val="-6"/>
                <w:sz w:val="24"/>
                <w:szCs w:val="24"/>
              </w:rPr>
              <w:t>）</w:t>
            </w:r>
          </w:p>
        </w:tc>
        <w:tc>
          <w:tcPr>
            <w:tcW w:w="3051" w:type="dxa"/>
            <w:vAlign w:val="center"/>
          </w:tcPr>
          <w:p w14:paraId="1B299334">
            <w:pPr>
              <w:snapToGrid w:val="0"/>
              <w:jc w:val="center"/>
              <w:rPr>
                <w:rFonts w:cs="宋体"/>
                <w:sz w:val="24"/>
                <w:szCs w:val="24"/>
              </w:rPr>
            </w:pPr>
            <w:r>
              <w:rPr>
                <w:rFonts w:hint="eastAsia" w:cs="宋体"/>
                <w:sz w:val="24"/>
                <w:szCs w:val="24"/>
              </w:rPr>
              <w:t>158479.03m</w:t>
            </w:r>
            <w:r>
              <w:rPr>
                <w:rFonts w:hint="eastAsia" w:cs="宋体"/>
                <w:sz w:val="24"/>
                <w:szCs w:val="24"/>
                <w:vertAlign w:val="superscript"/>
              </w:rPr>
              <w:t>2</w:t>
            </w:r>
          </w:p>
        </w:tc>
      </w:tr>
      <w:tr w14:paraId="1AE3C3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722" w:type="dxa"/>
            <w:vAlign w:val="center"/>
          </w:tcPr>
          <w:p w14:paraId="31D031C4">
            <w:pPr>
              <w:autoSpaceDE w:val="0"/>
              <w:autoSpaceDN w:val="0"/>
              <w:snapToGrid w:val="0"/>
              <w:jc w:val="center"/>
              <w:rPr>
                <w:rFonts w:cs="宋体"/>
                <w:sz w:val="24"/>
              </w:rPr>
            </w:pPr>
            <w:r>
              <w:rPr>
                <w:rFonts w:hint="eastAsia" w:cs="宋体"/>
                <w:sz w:val="24"/>
              </w:rPr>
              <w:t>专项评价设置情况</w:t>
            </w:r>
          </w:p>
        </w:tc>
        <w:tc>
          <w:tcPr>
            <w:tcW w:w="7564" w:type="dxa"/>
            <w:gridSpan w:val="4"/>
            <w:vAlign w:val="center"/>
          </w:tcPr>
          <w:p w14:paraId="39E09844">
            <w:pPr>
              <w:pStyle w:val="3"/>
              <w:ind w:firstLine="480"/>
            </w:pPr>
            <w:r>
              <w:rPr>
                <w:rFonts w:hint="eastAsia"/>
              </w:rPr>
              <w:t>根据《建设项目环境影响报告表编制技术指南（污染影响类）》（试行），大气、地表水、环境风险、生态专项评价设置原则见下表：</w:t>
            </w:r>
          </w:p>
          <w:p w14:paraId="03B76C46">
            <w:pPr>
              <w:pStyle w:val="49"/>
            </w:pPr>
            <w:bookmarkStart w:id="15" w:name="_Ref186210523"/>
            <w:r>
              <w:rPr>
                <w:rFonts w:hint="eastAsia"/>
              </w:rPr>
              <w:t xml:space="preserve">表1- </w:t>
            </w:r>
            <w:r>
              <w:t>1</w:t>
            </w:r>
            <w:r>
              <w:rPr>
                <w:rFonts w:hint="eastAsia"/>
              </w:rPr>
              <w:t>：专项评价设置原则表</w:t>
            </w:r>
            <w:bookmarkEnd w:id="15"/>
          </w:p>
          <w:tbl>
            <w:tblPr>
              <w:tblStyle w:val="5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861"/>
              <w:gridCol w:w="2552"/>
              <w:gridCol w:w="3935"/>
            </w:tblGrid>
            <w:tr w14:paraId="334BE7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861" w:type="dxa"/>
                  <w:tcBorders>
                    <w:top w:val="single" w:color="auto" w:sz="12" w:space="0"/>
                    <w:left w:val="nil"/>
                    <w:bottom w:val="single" w:color="auto" w:sz="12" w:space="0"/>
                    <w:right w:val="single" w:color="auto" w:sz="4" w:space="0"/>
                    <w:insideH w:val="single" w:sz="12" w:space="0"/>
                    <w:insideV w:val="single" w:sz="4" w:space="0"/>
                    <w:tl2br w:val="nil"/>
                    <w:tr2bl w:val="nil"/>
                  </w:tcBorders>
                  <w:vAlign w:val="center"/>
                </w:tcPr>
                <w:p w14:paraId="765851C4">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val="0"/>
                      <w:i w:val="0"/>
                      <w:sz w:val="21"/>
                      <w:szCs w:val="21"/>
                      <w14:ligatures w14:val="standardContextual"/>
                    </w:rPr>
                  </w:pPr>
                  <w:r>
                    <w:rPr>
                      <w:rFonts w:hint="eastAsia" w:ascii="Times New Roman" w:hAnsi="Times New Roman" w:eastAsia="宋体" w:cs="Times New Roman"/>
                      <w:b/>
                      <w:i w:val="0"/>
                      <w:sz w:val="21"/>
                      <w:szCs w:val="21"/>
                      <w14:ligatures w14:val="standardContextual"/>
                    </w:rPr>
                    <w:t>专项评</w:t>
                  </w:r>
                  <w:r>
                    <w:rPr>
                      <w:rFonts w:hint="eastAsia" w:ascii="宋体" w:hAnsi="宋体" w:eastAsia="宋体" w:cs="宋体"/>
                      <w:b/>
                      <w:i w:val="0"/>
                      <w:sz w:val="21"/>
                      <w:szCs w:val="21"/>
                      <w14:ligatures w14:val="standardContextual"/>
                    </w:rPr>
                    <w:t>价类别</w:t>
                  </w:r>
                </w:p>
              </w:tc>
              <w:tc>
                <w:tcPr>
                  <w:tcW w:w="2552" w:type="dxa"/>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3545CB5B">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val="0"/>
                      <w:i w:val="0"/>
                      <w:sz w:val="21"/>
                      <w:szCs w:val="21"/>
                      <w14:ligatures w14:val="standardContextual"/>
                    </w:rPr>
                  </w:pPr>
                  <w:r>
                    <w:rPr>
                      <w:rFonts w:hint="eastAsia" w:ascii="宋体" w:hAnsi="宋体" w:eastAsia="宋体" w:cs="宋体"/>
                      <w:b/>
                      <w:i w:val="0"/>
                      <w:sz w:val="21"/>
                      <w:szCs w:val="21"/>
                      <w14:ligatures w14:val="standardContextual"/>
                    </w:rPr>
                    <w:t>设置原则</w:t>
                  </w:r>
                </w:p>
              </w:tc>
              <w:tc>
                <w:tcPr>
                  <w:tcW w:w="3935" w:type="dxa"/>
                  <w:tcBorders>
                    <w:top w:val="single" w:color="auto" w:sz="12" w:space="0"/>
                    <w:bottom w:val="single" w:color="auto" w:sz="12" w:space="0"/>
                    <w:right w:val="nil"/>
                    <w:insideH w:val="single" w:sz="12" w:space="0"/>
                    <w:insideV w:val="single" w:sz="4" w:space="0"/>
                    <w:tl2br w:val="nil"/>
                    <w:tr2bl w:val="nil"/>
                  </w:tcBorders>
                  <w:vAlign w:val="center"/>
                </w:tcPr>
                <w:p w14:paraId="51974556">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val="0"/>
                      <w:i w:val="0"/>
                      <w:sz w:val="21"/>
                      <w:szCs w:val="21"/>
                      <w14:ligatures w14:val="standardContextual"/>
                    </w:rPr>
                  </w:pPr>
                  <w:r>
                    <w:rPr>
                      <w:rFonts w:hint="eastAsia" w:ascii="宋体" w:hAnsi="宋体" w:eastAsia="宋体" w:cs="宋体"/>
                      <w:b/>
                      <w:i w:val="0"/>
                      <w:sz w:val="21"/>
                      <w:szCs w:val="21"/>
                      <w14:ligatures w14:val="standardContextual"/>
                    </w:rPr>
                    <w:t>本项目是否设置专项</w:t>
                  </w:r>
                </w:p>
              </w:tc>
            </w:tr>
            <w:tr w14:paraId="350456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861" w:type="dxa"/>
                  <w:vAlign w:val="center"/>
                </w:tcPr>
                <w:p w14:paraId="020D80B0">
                  <w:pPr>
                    <w:widowControl w:val="0"/>
                    <w:overflowPunct w:val="0"/>
                    <w:autoSpaceDE w:val="0"/>
                    <w:autoSpaceDN w:val="0"/>
                    <w:snapToGrid w:val="0"/>
                    <w:jc w:val="center"/>
                    <w:rPr>
                      <w14:ligatures w14:val="standardContextual"/>
                    </w:rPr>
                  </w:pPr>
                  <w:r>
                    <w:rPr>
                      <w:rFonts w:hint="eastAsia"/>
                      <w14:ligatures w14:val="standardContextual"/>
                    </w:rPr>
                    <w:t>大气</w:t>
                  </w:r>
                </w:p>
              </w:tc>
              <w:tc>
                <w:tcPr>
                  <w:tcW w:w="2552" w:type="dxa"/>
                  <w:vAlign w:val="center"/>
                </w:tcPr>
                <w:p w14:paraId="5B0E90A4">
                  <w:pPr>
                    <w:widowControl w:val="0"/>
                    <w:overflowPunct w:val="0"/>
                    <w:autoSpaceDE w:val="0"/>
                    <w:autoSpaceDN w:val="0"/>
                    <w:snapToGrid w:val="0"/>
                    <w:jc w:val="center"/>
                    <w:rPr>
                      <w14:ligatures w14:val="standardContextual"/>
                    </w:rPr>
                  </w:pPr>
                  <w:r>
                    <w:rPr>
                      <w:rFonts w:hint="eastAsia"/>
                      <w14:ligatures w14:val="standardContextual"/>
                    </w:rPr>
                    <w:t>排放废气含有毒有害污染物</w:t>
                  </w:r>
                  <w:r>
                    <w:rPr>
                      <w:rFonts w:hint="eastAsia"/>
                      <w:vertAlign w:val="superscript"/>
                      <w14:ligatures w14:val="standardContextual"/>
                    </w:rPr>
                    <w:t>1</w:t>
                  </w:r>
                  <w:r>
                    <w:rPr>
                      <w:rFonts w:hint="eastAsia"/>
                      <w14:ligatures w14:val="standardContextual"/>
                    </w:rPr>
                    <w:t>、二噁英、苯并[a]芘、氰化物、氯气且厂界外500米范围内有环境空气保护目标</w:t>
                  </w:r>
                  <w:r>
                    <w:rPr>
                      <w:rFonts w:hint="eastAsia"/>
                      <w:vertAlign w:val="superscript"/>
                      <w14:ligatures w14:val="standardContextual"/>
                    </w:rPr>
                    <w:t>2</w:t>
                  </w:r>
                  <w:r>
                    <w:rPr>
                      <w:rFonts w:hint="eastAsia"/>
                      <w14:ligatures w14:val="standardContextual"/>
                    </w:rPr>
                    <w:t>的建设项目</w:t>
                  </w:r>
                </w:p>
              </w:tc>
              <w:tc>
                <w:tcPr>
                  <w:tcW w:w="3935" w:type="dxa"/>
                  <w:vAlign w:val="center"/>
                </w:tcPr>
                <w:p w14:paraId="58CFBFF7">
                  <w:pPr>
                    <w:widowControl w:val="0"/>
                    <w:overflowPunct w:val="0"/>
                    <w:autoSpaceDE w:val="0"/>
                    <w:autoSpaceDN w:val="0"/>
                    <w:snapToGrid w:val="0"/>
                    <w:jc w:val="center"/>
                    <w:rPr>
                      <w14:ligatures w14:val="standardContextual"/>
                    </w:rPr>
                  </w:pPr>
                  <w:r>
                    <w:rPr>
                      <w:rFonts w:hint="eastAsia"/>
                      <w14:ligatures w14:val="standardContextual"/>
                    </w:rPr>
                    <w:t>本项目排放的大气污染物主要为颗粒物、二氧化硫、氮氧化物、烟气黑度，不涉及有毒有害污染物，不涉及设置原则中相关内容，无需设置该专项评价。</w:t>
                  </w:r>
                </w:p>
              </w:tc>
            </w:tr>
            <w:tr w14:paraId="1EFA25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861" w:type="dxa"/>
                  <w:vAlign w:val="center"/>
                </w:tcPr>
                <w:p w14:paraId="0269CD78">
                  <w:pPr>
                    <w:widowControl w:val="0"/>
                    <w:overflowPunct w:val="0"/>
                    <w:autoSpaceDE w:val="0"/>
                    <w:autoSpaceDN w:val="0"/>
                    <w:snapToGrid w:val="0"/>
                    <w:jc w:val="center"/>
                    <w:rPr>
                      <w14:ligatures w14:val="standardContextual"/>
                    </w:rPr>
                  </w:pPr>
                  <w:r>
                    <w:rPr>
                      <w:rFonts w:hint="eastAsia"/>
                      <w14:ligatures w14:val="standardContextual"/>
                    </w:rPr>
                    <w:t>地表水</w:t>
                  </w:r>
                </w:p>
              </w:tc>
              <w:tc>
                <w:tcPr>
                  <w:tcW w:w="2552" w:type="dxa"/>
                  <w:vAlign w:val="center"/>
                </w:tcPr>
                <w:p w14:paraId="2FFC2A05">
                  <w:pPr>
                    <w:widowControl w:val="0"/>
                    <w:overflowPunct w:val="0"/>
                    <w:autoSpaceDE w:val="0"/>
                    <w:autoSpaceDN w:val="0"/>
                    <w:snapToGrid w:val="0"/>
                    <w:jc w:val="center"/>
                    <w:rPr>
                      <w14:ligatures w14:val="standardContextual"/>
                    </w:rPr>
                  </w:pPr>
                  <w:r>
                    <w:rPr>
                      <w:rFonts w:hint="eastAsia"/>
                      <w14:ligatures w14:val="standardContextual"/>
                    </w:rPr>
                    <w:t>新增工业废水直排建设项目（槽罐车外送污水处理厂的除外）；新增废水直排的污水集中处理厂</w:t>
                  </w:r>
                </w:p>
              </w:tc>
              <w:tc>
                <w:tcPr>
                  <w:tcW w:w="3935" w:type="dxa"/>
                  <w:vAlign w:val="center"/>
                </w:tcPr>
                <w:p w14:paraId="77E4C8D9">
                  <w:pPr>
                    <w:widowControl w:val="0"/>
                    <w:overflowPunct w:val="0"/>
                    <w:autoSpaceDE w:val="0"/>
                    <w:autoSpaceDN w:val="0"/>
                    <w:snapToGrid w:val="0"/>
                    <w:jc w:val="center"/>
                    <w:rPr>
                      <w14:ligatures w14:val="standardContextual"/>
                    </w:rPr>
                  </w:pPr>
                  <w:r>
                    <w:rPr>
                      <w:rFonts w:hint="eastAsia"/>
                      <w14:ligatures w14:val="standardContextual"/>
                    </w:rPr>
                    <w:t>项目无废水直排，故不设置地表水专项评价。</w:t>
                  </w:r>
                </w:p>
              </w:tc>
            </w:tr>
            <w:tr w14:paraId="610553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861" w:type="dxa"/>
                  <w:vAlign w:val="center"/>
                </w:tcPr>
                <w:p w14:paraId="7D70B1AB">
                  <w:pPr>
                    <w:widowControl w:val="0"/>
                    <w:overflowPunct w:val="0"/>
                    <w:autoSpaceDE w:val="0"/>
                    <w:autoSpaceDN w:val="0"/>
                    <w:snapToGrid w:val="0"/>
                    <w:jc w:val="center"/>
                    <w:rPr>
                      <w14:ligatures w14:val="standardContextual"/>
                    </w:rPr>
                  </w:pPr>
                  <w:r>
                    <w:rPr>
                      <w:rFonts w:hint="eastAsia"/>
                      <w14:ligatures w14:val="standardContextual"/>
                    </w:rPr>
                    <w:t>环境风</w:t>
                  </w:r>
                </w:p>
                <w:p w14:paraId="675CDF29">
                  <w:pPr>
                    <w:widowControl w:val="0"/>
                    <w:overflowPunct w:val="0"/>
                    <w:autoSpaceDE w:val="0"/>
                    <w:autoSpaceDN w:val="0"/>
                    <w:snapToGrid w:val="0"/>
                    <w:jc w:val="center"/>
                    <w:rPr>
                      <w14:ligatures w14:val="standardContextual"/>
                    </w:rPr>
                  </w:pPr>
                  <w:r>
                    <w:rPr>
                      <w:rFonts w:hint="eastAsia"/>
                      <w14:ligatures w14:val="standardContextual"/>
                    </w:rPr>
                    <w:t>险</w:t>
                  </w:r>
                </w:p>
              </w:tc>
              <w:tc>
                <w:tcPr>
                  <w:tcW w:w="2552" w:type="dxa"/>
                  <w:vAlign w:val="center"/>
                </w:tcPr>
                <w:p w14:paraId="70EA136A">
                  <w:pPr>
                    <w:widowControl w:val="0"/>
                    <w:overflowPunct w:val="0"/>
                    <w:autoSpaceDE w:val="0"/>
                    <w:autoSpaceDN w:val="0"/>
                    <w:snapToGrid w:val="0"/>
                    <w:jc w:val="center"/>
                    <w:rPr>
                      <w14:ligatures w14:val="standardContextual"/>
                    </w:rPr>
                  </w:pPr>
                  <w:r>
                    <w:rPr>
                      <w:rFonts w:hint="eastAsia"/>
                      <w14:ligatures w14:val="standardContextual"/>
                    </w:rPr>
                    <w:t>有毒有害的易燃易爆危险物质存储量超过临界量</w:t>
                  </w:r>
                  <w:r>
                    <w:rPr>
                      <w:rFonts w:hint="eastAsia"/>
                      <w:vertAlign w:val="superscript"/>
                      <w14:ligatures w14:val="standardContextual"/>
                    </w:rPr>
                    <w:t>3</w:t>
                  </w:r>
                  <w:r>
                    <w:rPr>
                      <w:rFonts w:hint="eastAsia"/>
                      <w14:ligatures w14:val="standardContextual"/>
                    </w:rPr>
                    <w:t>的建设项目</w:t>
                  </w:r>
                </w:p>
              </w:tc>
              <w:tc>
                <w:tcPr>
                  <w:tcW w:w="3935" w:type="dxa"/>
                  <w:vAlign w:val="center"/>
                </w:tcPr>
                <w:p w14:paraId="5EF7BC72">
                  <w:pPr>
                    <w:widowControl w:val="0"/>
                    <w:overflowPunct w:val="0"/>
                    <w:autoSpaceDE w:val="0"/>
                    <w:autoSpaceDN w:val="0"/>
                    <w:snapToGrid w:val="0"/>
                    <w:jc w:val="center"/>
                    <w:rPr>
                      <w14:ligatures w14:val="standardContextual"/>
                    </w:rPr>
                  </w:pPr>
                  <w:r>
                    <w:rPr>
                      <w:rFonts w:hint="eastAsia"/>
                      <w14:ligatures w14:val="standardContextual"/>
                    </w:rPr>
                    <w:t>本项目不涉及设置原则中相关内容，无需设置该专项评价</w:t>
                  </w:r>
                </w:p>
              </w:tc>
            </w:tr>
            <w:tr w14:paraId="0F24C6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861" w:type="dxa"/>
                  <w:vAlign w:val="center"/>
                </w:tcPr>
                <w:p w14:paraId="246DD3DE">
                  <w:pPr>
                    <w:widowControl w:val="0"/>
                    <w:overflowPunct w:val="0"/>
                    <w:autoSpaceDE w:val="0"/>
                    <w:autoSpaceDN w:val="0"/>
                    <w:snapToGrid w:val="0"/>
                    <w:jc w:val="center"/>
                    <w:rPr>
                      <w14:ligatures w14:val="standardContextual"/>
                    </w:rPr>
                  </w:pPr>
                  <w:r>
                    <w:rPr>
                      <w:rFonts w:hint="eastAsia"/>
                      <w14:ligatures w14:val="standardContextual"/>
                    </w:rPr>
                    <w:t>生态</w:t>
                  </w:r>
                </w:p>
              </w:tc>
              <w:tc>
                <w:tcPr>
                  <w:tcW w:w="2552" w:type="dxa"/>
                  <w:vAlign w:val="center"/>
                </w:tcPr>
                <w:p w14:paraId="2465BC0C">
                  <w:pPr>
                    <w:widowControl w:val="0"/>
                    <w:overflowPunct w:val="0"/>
                    <w:autoSpaceDE w:val="0"/>
                    <w:autoSpaceDN w:val="0"/>
                    <w:snapToGrid w:val="0"/>
                    <w:jc w:val="center"/>
                    <w:rPr>
                      <w14:ligatures w14:val="standardContextual"/>
                    </w:rPr>
                  </w:pPr>
                  <w:r>
                    <w:rPr>
                      <w:rFonts w:hint="eastAsia"/>
                      <w14:ligatures w14:val="standardContextual"/>
                    </w:rPr>
                    <w:t>取水口下游500米范围内有重要水生生物的自然产卵场、索饵场、越冬场和洄游通道的新增河道取水的污染类建设项目</w:t>
                  </w:r>
                </w:p>
              </w:tc>
              <w:tc>
                <w:tcPr>
                  <w:tcW w:w="3935" w:type="dxa"/>
                  <w:vAlign w:val="center"/>
                </w:tcPr>
                <w:p w14:paraId="6DEBEE60">
                  <w:pPr>
                    <w:widowControl w:val="0"/>
                    <w:overflowPunct w:val="0"/>
                    <w:autoSpaceDE w:val="0"/>
                    <w:autoSpaceDN w:val="0"/>
                    <w:snapToGrid w:val="0"/>
                    <w:jc w:val="center"/>
                    <w:rPr>
                      <w14:ligatures w14:val="standardContextual"/>
                    </w:rPr>
                  </w:pPr>
                  <w:r>
                    <w:rPr>
                      <w:rFonts w:hint="eastAsia"/>
                      <w14:ligatures w14:val="standardContextual"/>
                    </w:rPr>
                    <w:t>本项目不涉及设置原则中相关内容，无需设置该专项评价</w:t>
                  </w:r>
                </w:p>
              </w:tc>
            </w:tr>
            <w:tr w14:paraId="0F3F9E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861" w:type="dxa"/>
                  <w:vAlign w:val="center"/>
                </w:tcPr>
                <w:p w14:paraId="10EB4592">
                  <w:pPr>
                    <w:widowControl w:val="0"/>
                    <w:overflowPunct w:val="0"/>
                    <w:autoSpaceDE w:val="0"/>
                    <w:autoSpaceDN w:val="0"/>
                    <w:snapToGrid w:val="0"/>
                    <w:jc w:val="center"/>
                    <w:rPr>
                      <w14:ligatures w14:val="standardContextual"/>
                    </w:rPr>
                  </w:pPr>
                  <w:r>
                    <w:rPr>
                      <w:rFonts w:hint="eastAsia"/>
                      <w14:ligatures w14:val="standardContextual"/>
                    </w:rPr>
                    <w:t>海洋</w:t>
                  </w:r>
                </w:p>
              </w:tc>
              <w:tc>
                <w:tcPr>
                  <w:tcW w:w="2552" w:type="dxa"/>
                  <w:vAlign w:val="center"/>
                </w:tcPr>
                <w:p w14:paraId="2CD8B421">
                  <w:pPr>
                    <w:widowControl w:val="0"/>
                    <w:overflowPunct w:val="0"/>
                    <w:autoSpaceDE w:val="0"/>
                    <w:autoSpaceDN w:val="0"/>
                    <w:snapToGrid w:val="0"/>
                    <w:jc w:val="center"/>
                    <w:rPr>
                      <w14:ligatures w14:val="standardContextual"/>
                    </w:rPr>
                  </w:pPr>
                  <w:r>
                    <w:rPr>
                      <w:rFonts w:hint="eastAsia"/>
                      <w14:ligatures w14:val="standardContextual"/>
                    </w:rPr>
                    <w:t>直接向海洋排放污染物的海洋建设项目</w:t>
                  </w:r>
                </w:p>
              </w:tc>
              <w:tc>
                <w:tcPr>
                  <w:tcW w:w="3935" w:type="dxa"/>
                  <w:vAlign w:val="center"/>
                </w:tcPr>
                <w:p w14:paraId="10831169">
                  <w:pPr>
                    <w:widowControl w:val="0"/>
                    <w:overflowPunct w:val="0"/>
                    <w:autoSpaceDE w:val="0"/>
                    <w:autoSpaceDN w:val="0"/>
                    <w:snapToGrid w:val="0"/>
                    <w:jc w:val="center"/>
                    <w:rPr>
                      <w14:ligatures w14:val="standardContextual"/>
                    </w:rPr>
                  </w:pPr>
                  <w:r>
                    <w:rPr>
                      <w:rFonts w:hint="eastAsia"/>
                      <w14:ligatures w14:val="standardContextual"/>
                    </w:rPr>
                    <w:t>本项目不涉及设置原则中相关内容，无需设置该专项</w:t>
                  </w:r>
                </w:p>
              </w:tc>
            </w:tr>
          </w:tbl>
          <w:p w14:paraId="6A543E3E">
            <w:pPr>
              <w:pStyle w:val="66"/>
              <w:spacing w:after="120"/>
            </w:pPr>
            <w:r>
              <w:rPr>
                <w:rFonts w:hint="eastAsia"/>
              </w:rPr>
              <w:t>注：1.废气中有毒有害污染物指纳入《有毒有害大气污染物名录》的污染物（不包括无排放标准的污染物）。</w:t>
            </w:r>
          </w:p>
          <w:p w14:paraId="3CE4BDC5">
            <w:pPr>
              <w:pStyle w:val="66"/>
              <w:spacing w:after="120"/>
            </w:pPr>
            <w:r>
              <w:rPr>
                <w:rFonts w:hint="eastAsia"/>
              </w:rPr>
              <w:t>2.环境空气保护目标指自然保护区、风景名胜区、居住区、文化区和农村地区中人群较集中的区域。</w:t>
            </w:r>
          </w:p>
          <w:p w14:paraId="45A7E376">
            <w:pPr>
              <w:pStyle w:val="66"/>
              <w:spacing w:after="120"/>
            </w:pPr>
            <w:r>
              <w:rPr>
                <w:rFonts w:hint="eastAsia"/>
              </w:rPr>
              <w:t>3.临界量及其计算方法可参考《建设项目环境风险评价技术导则》（HJ 169）附录B、附录C。</w:t>
            </w:r>
          </w:p>
          <w:p w14:paraId="192D03D4">
            <w:pPr>
              <w:pStyle w:val="3"/>
              <w:ind w:firstLine="480"/>
            </w:pPr>
            <w:r>
              <w:rPr>
                <w:rFonts w:hint="eastAsia"/>
              </w:rPr>
              <w:t>根据《建设项目环境影响报告表编制技术指南（污染影响类）》（试行），土壤及声环境不开展专项评价。地下水原则上不开展专项评价，涉及集中式饮用水水源和热水、矿泉水、温泉等特殊地下水资源保护区的开展地下水专项评价工作，本项目不涉及上述保护区，因此可不开展地下水专项评价。</w:t>
            </w:r>
          </w:p>
          <w:p w14:paraId="1B11F4A9">
            <w:pPr>
              <w:pStyle w:val="3"/>
              <w:ind w:firstLine="480"/>
              <w:rPr>
                <w:rFonts w:cs="宋体"/>
              </w:rPr>
            </w:pPr>
            <w:r>
              <w:rPr>
                <w:rFonts w:hint="eastAsia"/>
              </w:rPr>
              <w:t>综上判定，本次评价无须设置专项评价。</w:t>
            </w:r>
          </w:p>
        </w:tc>
      </w:tr>
      <w:tr w14:paraId="47967D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64" w:hRule="atLeast"/>
          <w:jc w:val="center"/>
        </w:trPr>
        <w:tc>
          <w:tcPr>
            <w:tcW w:w="722" w:type="dxa"/>
            <w:vAlign w:val="center"/>
          </w:tcPr>
          <w:p w14:paraId="2ED673E1">
            <w:pPr>
              <w:autoSpaceDE w:val="0"/>
              <w:autoSpaceDN w:val="0"/>
              <w:snapToGrid w:val="0"/>
              <w:jc w:val="center"/>
              <w:rPr>
                <w:rFonts w:cs="宋体"/>
                <w:sz w:val="24"/>
              </w:rPr>
            </w:pPr>
            <w:bookmarkStart w:id="16" w:name="规划情况"/>
            <w:r>
              <w:rPr>
                <w:rFonts w:hint="eastAsia" w:cs="宋体"/>
                <w:sz w:val="24"/>
              </w:rPr>
              <w:t>规划情况</w:t>
            </w:r>
            <w:bookmarkEnd w:id="16"/>
          </w:p>
        </w:tc>
        <w:tc>
          <w:tcPr>
            <w:tcW w:w="7564" w:type="dxa"/>
            <w:gridSpan w:val="4"/>
            <w:vAlign w:val="center"/>
          </w:tcPr>
          <w:p w14:paraId="6E7A4398">
            <w:pPr>
              <w:pStyle w:val="3"/>
              <w:ind w:firstLine="0" w:firstLineChars="0"/>
            </w:pPr>
            <w:bookmarkStart w:id="17" w:name="OLE_LINK119"/>
            <w:r>
              <w:rPr>
                <w:rFonts w:hint="eastAsia"/>
              </w:rPr>
              <w:t>（1）规划名称：《中国—马来西亚钦州产业园区总体规划修编》</w:t>
            </w:r>
          </w:p>
          <w:p w14:paraId="742842C5">
            <w:pPr>
              <w:pStyle w:val="3"/>
              <w:ind w:firstLine="0" w:firstLineChars="0"/>
            </w:pPr>
            <w:r>
              <w:rPr>
                <w:rFonts w:hint="eastAsia"/>
              </w:rPr>
              <w:t>（2）审批机关：广西壮族自治区人民政府</w:t>
            </w:r>
            <w:bookmarkEnd w:id="17"/>
          </w:p>
        </w:tc>
      </w:tr>
      <w:tr w14:paraId="076EA8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722" w:type="dxa"/>
            <w:vAlign w:val="center"/>
          </w:tcPr>
          <w:p w14:paraId="526A4B5B">
            <w:pPr>
              <w:snapToGrid w:val="0"/>
              <w:jc w:val="center"/>
              <w:rPr>
                <w:rFonts w:cs="宋体"/>
                <w:sz w:val="24"/>
              </w:rPr>
            </w:pPr>
            <w:r>
              <w:rPr>
                <w:rFonts w:hint="eastAsia" w:cs="宋体"/>
                <w:sz w:val="24"/>
              </w:rPr>
              <w:t>规划环境影响评价情况</w:t>
            </w:r>
          </w:p>
        </w:tc>
        <w:tc>
          <w:tcPr>
            <w:tcW w:w="7564" w:type="dxa"/>
            <w:gridSpan w:val="4"/>
            <w:vAlign w:val="center"/>
          </w:tcPr>
          <w:p w14:paraId="7E27E441">
            <w:pPr>
              <w:pStyle w:val="3"/>
              <w:ind w:firstLine="0" w:firstLineChars="0"/>
            </w:pPr>
            <w:r>
              <w:rPr>
                <w:rFonts w:hint="eastAsia"/>
              </w:rPr>
              <w:t>（1）规划环境影响评价文件名称：《中国—马来西亚钦州产业园区总体规划修编环境影响报告书》</w:t>
            </w:r>
          </w:p>
          <w:p w14:paraId="1D06AB0B">
            <w:pPr>
              <w:pStyle w:val="3"/>
              <w:ind w:firstLine="0" w:firstLineChars="0"/>
              <w:rPr>
                <w:rFonts w:hint="eastAsia" w:eastAsia="宋体"/>
                <w:lang w:eastAsia="zh-CN"/>
              </w:rPr>
            </w:pPr>
            <w:r>
              <w:rPr>
                <w:rFonts w:hint="eastAsia"/>
              </w:rPr>
              <w:t>（2）召集审查机关：广西壮族自治区</w:t>
            </w:r>
            <w:r>
              <w:rPr>
                <w:rFonts w:hint="eastAsia"/>
                <w:lang w:eastAsia="zh-CN"/>
              </w:rPr>
              <w:t>生态环境厅</w:t>
            </w:r>
          </w:p>
          <w:p w14:paraId="705F0272">
            <w:pPr>
              <w:pStyle w:val="3"/>
              <w:ind w:firstLine="0" w:firstLineChars="0"/>
            </w:pPr>
            <w:r>
              <w:rPr>
                <w:rFonts w:hint="eastAsia"/>
              </w:rPr>
              <w:t>（3）审查文件名称及文号：《广西壮族自治区</w:t>
            </w:r>
            <w:r>
              <w:rPr>
                <w:rFonts w:hint="eastAsia"/>
                <w:lang w:eastAsia="zh-CN"/>
              </w:rPr>
              <w:t>生态环境厅</w:t>
            </w:r>
            <w:r>
              <w:rPr>
                <w:rFonts w:hint="eastAsia"/>
              </w:rPr>
              <w:t>关于印发中国—马来西亚钦州产业园区总体规划修编环境影响报告书审查意见的函》（桂环函〔2016〕2132号）</w:t>
            </w:r>
          </w:p>
          <w:p w14:paraId="52D9C530">
            <w:pPr>
              <w:pStyle w:val="3"/>
              <w:ind w:firstLine="480"/>
            </w:pPr>
            <w:r>
              <w:rPr>
                <w:rFonts w:hint="eastAsia"/>
              </w:rPr>
              <w:t>2016年园区对原有规划进行修编，并进行环境影响评价工作。修编后的规划环评于2016年12月通过广西壮族自治区</w:t>
            </w:r>
            <w:r>
              <w:rPr>
                <w:rFonts w:hint="eastAsia"/>
                <w:lang w:eastAsia="zh-CN"/>
              </w:rPr>
              <w:t>生态环境厅</w:t>
            </w:r>
            <w:r>
              <w:rPr>
                <w:rFonts w:hint="eastAsia"/>
              </w:rPr>
              <w:t>组织的审查并取得了规划环评审查意见《广西壮族自治区</w:t>
            </w:r>
            <w:r>
              <w:rPr>
                <w:rFonts w:hint="eastAsia"/>
                <w:lang w:eastAsia="zh-CN"/>
              </w:rPr>
              <w:t>生态环境厅</w:t>
            </w:r>
            <w:r>
              <w:rPr>
                <w:rFonts w:hint="eastAsia"/>
              </w:rPr>
              <w:t>关于印发中国—马来西亚钦州产业园区总体规划修编环境影响报告书审查意见的函》（桂环函﹝2016﹞2132号）。</w:t>
            </w:r>
          </w:p>
        </w:tc>
      </w:tr>
      <w:tr w14:paraId="145891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722" w:type="dxa"/>
            <w:vAlign w:val="center"/>
          </w:tcPr>
          <w:p w14:paraId="3B372CE7">
            <w:pPr>
              <w:autoSpaceDE w:val="0"/>
              <w:autoSpaceDN w:val="0"/>
              <w:snapToGrid w:val="0"/>
              <w:jc w:val="center"/>
              <w:rPr>
                <w:rFonts w:cs="宋体"/>
                <w:sz w:val="24"/>
              </w:rPr>
            </w:pPr>
            <w:r>
              <w:rPr>
                <w:rFonts w:hint="eastAsia" w:cs="宋体"/>
                <w:sz w:val="24"/>
              </w:rPr>
              <w:t>规划及规划环境影响评价符合性分析</w:t>
            </w:r>
          </w:p>
        </w:tc>
        <w:tc>
          <w:tcPr>
            <w:tcW w:w="7564" w:type="dxa"/>
            <w:gridSpan w:val="4"/>
            <w:vAlign w:val="center"/>
          </w:tcPr>
          <w:p w14:paraId="5080BD20">
            <w:pPr>
              <w:pStyle w:val="7"/>
            </w:pPr>
            <w:r>
              <w:rPr>
                <w:rFonts w:hint="eastAsia"/>
              </w:rPr>
              <w:t>1、项目与《</w:t>
            </w:r>
            <w:bookmarkStart w:id="18" w:name="OLE_LINK132"/>
            <w:r>
              <w:rPr>
                <w:rFonts w:hint="eastAsia"/>
              </w:rPr>
              <w:t>中国—马来西亚钦州产业园区总体规划修编》（2015-2030）</w:t>
            </w:r>
            <w:bookmarkEnd w:id="18"/>
            <w:r>
              <w:rPr>
                <w:rFonts w:hint="eastAsia"/>
              </w:rPr>
              <w:t>相符性</w:t>
            </w:r>
          </w:p>
          <w:p w14:paraId="16A9D3F3">
            <w:pPr>
              <w:pStyle w:val="49"/>
            </w:pPr>
            <w:r>
              <w:rPr>
                <w:rFonts w:hint="eastAsia"/>
              </w:rPr>
              <w:t xml:space="preserve">表1- </w:t>
            </w:r>
            <w:r>
              <w:t>2</w:t>
            </w:r>
            <w:r>
              <w:rPr>
                <w:rFonts w:hint="eastAsia"/>
              </w:rPr>
              <w:t>与《中国—马来西亚钦州产业园区总体规划修编》（2015-2030）相符性</w:t>
            </w:r>
          </w:p>
          <w:tbl>
            <w:tblPr>
              <w:tblStyle w:val="5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3558"/>
              <w:gridCol w:w="2960"/>
              <w:gridCol w:w="872"/>
            </w:tblGrid>
            <w:tr w14:paraId="3F32D0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858" w:type="pct"/>
                  <w:tcBorders>
                    <w:top w:val="single" w:color="auto" w:sz="12" w:space="0"/>
                    <w:left w:val="nil"/>
                    <w:bottom w:val="single" w:color="auto" w:sz="12" w:space="0"/>
                    <w:right w:val="single" w:color="auto" w:sz="4" w:space="0"/>
                    <w:insideH w:val="single" w:sz="12" w:space="0"/>
                    <w:insideV w:val="single" w:sz="4" w:space="0"/>
                    <w:tl2br w:val="nil"/>
                    <w:tr2bl w:val="nil"/>
                  </w:tcBorders>
                  <w:vAlign w:val="center"/>
                </w:tcPr>
                <w:p w14:paraId="42CCD794">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z w:val="21"/>
                      <w:szCs w:val="21"/>
                      <w14:ligatures w14:val="standardContextual"/>
                    </w:rPr>
                  </w:pPr>
                  <w:r>
                    <w:rPr>
                      <w:rFonts w:hint="eastAsia" w:ascii="Times New Roman" w:hAnsi="Times New Roman" w:eastAsia="宋体" w:cs="Times New Roman"/>
                      <w:b/>
                      <w:i w:val="0"/>
                      <w:sz w:val="21"/>
                      <w:szCs w:val="21"/>
                      <w14:ligatures w14:val="standardContextual"/>
                    </w:rPr>
                    <w:t>规划要求</w:t>
                  </w:r>
                </w:p>
              </w:tc>
              <w:tc>
                <w:tcPr>
                  <w:tcW w:w="1545"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47773137">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z w:val="21"/>
                      <w:szCs w:val="21"/>
                      <w14:ligatures w14:val="standardContextual"/>
                    </w:rPr>
                  </w:pPr>
                  <w:r>
                    <w:rPr>
                      <w:rFonts w:hint="eastAsia" w:ascii="Times New Roman" w:hAnsi="Times New Roman" w:eastAsia="宋体" w:cs="Times New Roman"/>
                      <w:b/>
                      <w:i w:val="0"/>
                      <w:sz w:val="21"/>
                      <w:szCs w:val="21"/>
                      <w14:ligatures w14:val="standardContextual"/>
                    </w:rPr>
                    <w:t>本项目情况</w:t>
                  </w:r>
                </w:p>
              </w:tc>
              <w:tc>
                <w:tcPr>
                  <w:tcW w:w="455" w:type="pct"/>
                  <w:tcBorders>
                    <w:top w:val="single" w:color="auto" w:sz="12" w:space="0"/>
                    <w:bottom w:val="single" w:color="auto" w:sz="12" w:space="0"/>
                    <w:right w:val="nil"/>
                    <w:insideH w:val="single" w:sz="12" w:space="0"/>
                    <w:insideV w:val="single" w:sz="4" w:space="0"/>
                    <w:tl2br w:val="nil"/>
                    <w:tr2bl w:val="nil"/>
                  </w:tcBorders>
                  <w:vAlign w:val="center"/>
                </w:tcPr>
                <w:p w14:paraId="42A7ECC3">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z w:val="21"/>
                      <w:szCs w:val="21"/>
                      <w14:ligatures w14:val="standardContextual"/>
                    </w:rPr>
                  </w:pPr>
                  <w:r>
                    <w:rPr>
                      <w:rFonts w:hint="eastAsia" w:ascii="Times New Roman" w:hAnsi="Times New Roman" w:eastAsia="宋体" w:cs="Times New Roman"/>
                      <w:b/>
                      <w:i w:val="0"/>
                      <w:sz w:val="21"/>
                      <w:szCs w:val="21"/>
                      <w14:ligatures w14:val="standardContextual"/>
                    </w:rPr>
                    <w:t>符合性分析</w:t>
                  </w:r>
                </w:p>
              </w:tc>
            </w:tr>
            <w:tr w14:paraId="72C250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858" w:type="pct"/>
                  <w:vAlign w:val="center"/>
                </w:tcPr>
                <w:p w14:paraId="2A57808B">
                  <w:pPr>
                    <w:widowControl w:val="0"/>
                    <w:overflowPunct w:val="0"/>
                    <w:autoSpaceDE w:val="0"/>
                    <w:autoSpaceDN w:val="0"/>
                    <w:snapToGrid w:val="0"/>
                    <w:jc w:val="center"/>
                    <w:rPr>
                      <w14:ligatures w14:val="standardContextual"/>
                    </w:rPr>
                  </w:pPr>
                  <w:r>
                    <w:rPr>
                      <w:rFonts w:hint="eastAsia"/>
                      <w14:ligatures w14:val="standardContextual"/>
                    </w:rPr>
                    <w:t>规划理念：生态优先，加强金鼓江两岸及红树林等生态敏感空间的严格保护和合理利用，探索海绵</w:t>
                  </w:r>
                  <w:r>
                    <w:rPr>
                      <w:rFonts w:hint="eastAsia"/>
                      <w:lang w:eastAsia="zh-CN"/>
                      <w14:ligatures w14:val="standardContextual"/>
                    </w:rPr>
                    <w:t>墟市</w:t>
                  </w:r>
                  <w:r>
                    <w:rPr>
                      <w:rFonts w:hint="eastAsia"/>
                      <w14:ligatures w14:val="standardContextual"/>
                    </w:rPr>
                    <w:t>的具体运用，提升人居环境质量，彰显新城魅力。</w:t>
                  </w:r>
                </w:p>
              </w:tc>
              <w:tc>
                <w:tcPr>
                  <w:tcW w:w="1545" w:type="pct"/>
                  <w:vAlign w:val="center"/>
                </w:tcPr>
                <w:p w14:paraId="79EB3108">
                  <w:pPr>
                    <w:widowControl w:val="0"/>
                    <w:overflowPunct w:val="0"/>
                    <w:autoSpaceDE w:val="0"/>
                    <w:autoSpaceDN w:val="0"/>
                    <w:snapToGrid w:val="0"/>
                    <w:jc w:val="center"/>
                    <w:rPr>
                      <w14:ligatures w14:val="standardContextual"/>
                    </w:rPr>
                  </w:pPr>
                  <w:r>
                    <w:rPr>
                      <w:rFonts w:hint="eastAsia"/>
                      <w14:ligatures w14:val="standardContextual"/>
                    </w:rPr>
                    <w:t>项目的建设经采取相应的环保措施后不会对金鼓江两岸的红树林造成影响。</w:t>
                  </w:r>
                </w:p>
              </w:tc>
              <w:tc>
                <w:tcPr>
                  <w:tcW w:w="455" w:type="pct"/>
                  <w:vAlign w:val="center"/>
                </w:tcPr>
                <w:p w14:paraId="4EC4E642">
                  <w:pPr>
                    <w:widowControl w:val="0"/>
                    <w:overflowPunct w:val="0"/>
                    <w:autoSpaceDE w:val="0"/>
                    <w:autoSpaceDN w:val="0"/>
                    <w:snapToGrid w:val="0"/>
                    <w:jc w:val="center"/>
                    <w:rPr>
                      <w14:ligatures w14:val="standardContextual"/>
                    </w:rPr>
                  </w:pPr>
                  <w:r>
                    <w:rPr>
                      <w:rFonts w:hint="eastAsia"/>
                      <w14:ligatures w14:val="standardContextual"/>
                    </w:rPr>
                    <w:t>符合</w:t>
                  </w:r>
                </w:p>
              </w:tc>
            </w:tr>
            <w:tr w14:paraId="7CD7F6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858" w:type="pct"/>
                  <w:vAlign w:val="center"/>
                </w:tcPr>
                <w:p w14:paraId="239B5A53">
                  <w:pPr>
                    <w:widowControl w:val="0"/>
                    <w:overflowPunct w:val="0"/>
                    <w:autoSpaceDE w:val="0"/>
                    <w:autoSpaceDN w:val="0"/>
                    <w:snapToGrid w:val="0"/>
                    <w:jc w:val="center"/>
                    <w:rPr>
                      <w14:ligatures w14:val="standardContextual"/>
                    </w:rPr>
                  </w:pPr>
                  <w:r>
                    <w:rPr>
                      <w:rFonts w:hint="eastAsia"/>
                      <w14:ligatures w14:val="standardContextual"/>
                    </w:rPr>
                    <w:t>规划重点：构建</w:t>
                  </w:r>
                  <w:r>
                    <w:rPr>
                      <w14:ligatures w14:val="standardContextual"/>
                    </w:rPr>
                    <w:t>“</w:t>
                  </w:r>
                  <w:r>
                    <w:rPr>
                      <w:rFonts w:hint="eastAsia"/>
                      <w14:ligatures w14:val="standardContextual"/>
                    </w:rPr>
                    <w:t>生态客厅</w:t>
                  </w:r>
                  <w:r>
                    <w:rPr>
                      <w14:ligatures w14:val="standardContextual"/>
                    </w:rPr>
                    <w:t>”</w:t>
                  </w:r>
                  <w:r>
                    <w:rPr>
                      <w:rFonts w:hint="eastAsia"/>
                      <w14:ligatures w14:val="standardContextual"/>
                    </w:rPr>
                    <w:t>空间，化解红树林保护与滨海开发的矛盾，提出</w:t>
                  </w:r>
                  <w:r>
                    <w:rPr>
                      <w14:ligatures w14:val="standardContextual"/>
                    </w:rPr>
                    <w:t>“</w:t>
                  </w:r>
                  <w:r>
                    <w:rPr>
                      <w:rFonts w:hint="eastAsia"/>
                      <w14:ligatures w14:val="standardContextual"/>
                    </w:rPr>
                    <w:t>生态客厅</w:t>
                  </w:r>
                  <w:r>
                    <w:rPr>
                      <w14:ligatures w14:val="standardContextual"/>
                    </w:rPr>
                    <w:t>”</w:t>
                  </w:r>
                  <w:r>
                    <w:rPr>
                      <w:rFonts w:hint="eastAsia"/>
                      <w14:ligatures w14:val="standardContextual"/>
                    </w:rPr>
                    <w:t>应对之策，在保护生态环境的基础上创造出富有特色的城市空间环境。</w:t>
                  </w:r>
                </w:p>
              </w:tc>
              <w:tc>
                <w:tcPr>
                  <w:tcW w:w="1545" w:type="pct"/>
                  <w:vAlign w:val="center"/>
                </w:tcPr>
                <w:p w14:paraId="19E4DA20">
                  <w:pPr>
                    <w:widowControl w:val="0"/>
                    <w:overflowPunct w:val="0"/>
                    <w:autoSpaceDE w:val="0"/>
                    <w:autoSpaceDN w:val="0"/>
                    <w:snapToGrid w:val="0"/>
                    <w:jc w:val="center"/>
                    <w:rPr>
                      <w14:ligatures w14:val="standardContextual"/>
                    </w:rPr>
                  </w:pPr>
                  <w:r>
                    <w:rPr>
                      <w:rFonts w:hint="eastAsia"/>
                      <w14:ligatures w14:val="standardContextual"/>
                    </w:rPr>
                    <w:t>本项目不占用红树林，在保护生态环境的基础上建设</w:t>
                  </w:r>
                  <w:bookmarkStart w:id="19" w:name="OLE_LINK124"/>
                  <w:bookmarkStart w:id="20" w:name="OLE_LINK136"/>
                  <w:r>
                    <w:rPr>
                      <w:rFonts w:hint="eastAsia"/>
                      <w14:ligatures w14:val="standardContextual"/>
                    </w:rPr>
                    <w:t>标准厂房及配套设施</w:t>
                  </w:r>
                  <w:bookmarkEnd w:id="19"/>
                  <w:bookmarkStart w:id="21" w:name="OLE_LINK131"/>
                  <w:r>
                    <w:rPr>
                      <w:rFonts w:hint="eastAsia"/>
                      <w14:ligatures w14:val="standardContextual"/>
                    </w:rPr>
                    <w:t>子项项目</w:t>
                  </w:r>
                  <w:bookmarkEnd w:id="20"/>
                  <w:bookmarkEnd w:id="21"/>
                  <w:r>
                    <w:rPr>
                      <w:rFonts w:hint="eastAsia"/>
                      <w14:ligatures w14:val="standardContextual"/>
                    </w:rPr>
                    <w:t>。</w:t>
                  </w:r>
                </w:p>
              </w:tc>
              <w:tc>
                <w:tcPr>
                  <w:tcW w:w="455" w:type="pct"/>
                  <w:vAlign w:val="center"/>
                </w:tcPr>
                <w:p w14:paraId="7B90CB66">
                  <w:pPr>
                    <w:widowControl w:val="0"/>
                    <w:overflowPunct w:val="0"/>
                    <w:autoSpaceDE w:val="0"/>
                    <w:autoSpaceDN w:val="0"/>
                    <w:snapToGrid w:val="0"/>
                    <w:jc w:val="center"/>
                    <w:rPr>
                      <w14:ligatures w14:val="standardContextual"/>
                    </w:rPr>
                  </w:pPr>
                  <w:r>
                    <w:rPr>
                      <w:rFonts w:hint="eastAsia"/>
                      <w14:ligatures w14:val="standardContextual"/>
                    </w:rPr>
                    <w:t>符合</w:t>
                  </w:r>
                </w:p>
              </w:tc>
            </w:tr>
            <w:tr w14:paraId="33D378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858" w:type="pct"/>
                  <w:vAlign w:val="center"/>
                </w:tcPr>
                <w:p w14:paraId="0420FBFD">
                  <w:pPr>
                    <w:widowControl w:val="0"/>
                    <w:overflowPunct w:val="0"/>
                    <w:autoSpaceDE w:val="0"/>
                    <w:autoSpaceDN w:val="0"/>
                    <w:snapToGrid w:val="0"/>
                    <w:jc w:val="center"/>
                    <w:rPr>
                      <w14:ligatures w14:val="standardContextual"/>
                    </w:rPr>
                  </w:pPr>
                  <w:r>
                    <w:rPr>
                      <w:rFonts w:hint="eastAsia"/>
                      <w14:ligatures w14:val="standardContextual"/>
                    </w:rPr>
                    <w:t>近期建设规划：用地布局</w:t>
                  </w:r>
                  <w:r>
                    <w:rPr>
                      <w14:ligatures w14:val="standardContextual"/>
                    </w:rPr>
                    <w:t>——</w:t>
                  </w:r>
                  <w:r>
                    <w:rPr>
                      <w:rFonts w:hint="eastAsia"/>
                      <w14:ligatures w14:val="standardContextual"/>
                    </w:rPr>
                    <w:t>在景观及水系打造方面，沿金鼓江整理内湖，预留游艇岸线码头、梳理孔雀湾大道以西的自然山林，营造人工休闲沙滩与城市广场空间，沿道路两侧打造绿地景观，丰富居民休闲游憩空间。</w:t>
                  </w:r>
                </w:p>
              </w:tc>
              <w:tc>
                <w:tcPr>
                  <w:tcW w:w="1545" w:type="pct"/>
                  <w:vAlign w:val="center"/>
                </w:tcPr>
                <w:p w14:paraId="006FD83B">
                  <w:pPr>
                    <w:widowControl w:val="0"/>
                    <w:overflowPunct w:val="0"/>
                    <w:autoSpaceDE w:val="0"/>
                    <w:autoSpaceDN w:val="0"/>
                    <w:snapToGrid w:val="0"/>
                    <w:jc w:val="center"/>
                    <w:rPr>
                      <w14:ligatures w14:val="standardContextual"/>
                    </w:rPr>
                  </w:pPr>
                  <w:r>
                    <w:rPr>
                      <w:rFonts w:hint="eastAsia"/>
                      <w14:ligatures w14:val="standardContextual"/>
                    </w:rPr>
                    <w:t>本项目为</w:t>
                  </w:r>
                  <w:bookmarkStart w:id="22" w:name="OLE_LINK144"/>
                  <w:r>
                    <w:rPr>
                      <w:rFonts w:hint="eastAsia"/>
                      <w14:ligatures w14:val="standardContextual"/>
                    </w:rPr>
                    <w:t>标准厂房及配套设施子项项目</w:t>
                  </w:r>
                  <w:bookmarkEnd w:id="22"/>
                  <w:r>
                    <w:rPr>
                      <w:rFonts w:hint="eastAsia"/>
                      <w14:ligatures w14:val="standardContextual"/>
                    </w:rPr>
                    <w:t>，建设内容包括生物质锅炉工程等，项目用地符合国土空间规划。</w:t>
                  </w:r>
                </w:p>
              </w:tc>
              <w:tc>
                <w:tcPr>
                  <w:tcW w:w="455" w:type="pct"/>
                  <w:vAlign w:val="center"/>
                </w:tcPr>
                <w:p w14:paraId="5DC6EF34">
                  <w:pPr>
                    <w:widowControl w:val="0"/>
                    <w:overflowPunct w:val="0"/>
                    <w:autoSpaceDE w:val="0"/>
                    <w:autoSpaceDN w:val="0"/>
                    <w:snapToGrid w:val="0"/>
                    <w:jc w:val="center"/>
                    <w:rPr>
                      <w14:ligatures w14:val="standardContextual"/>
                    </w:rPr>
                  </w:pPr>
                  <w:r>
                    <w:rPr>
                      <w:rFonts w:hint="eastAsia"/>
                      <w14:ligatures w14:val="standardContextual"/>
                    </w:rPr>
                    <w:t>符合</w:t>
                  </w:r>
                </w:p>
              </w:tc>
            </w:tr>
          </w:tbl>
          <w:p w14:paraId="36FA3113">
            <w:pPr>
              <w:pStyle w:val="3"/>
              <w:ind w:firstLine="480"/>
            </w:pPr>
            <w:bookmarkStart w:id="23" w:name="OLE_LINK81"/>
          </w:p>
          <w:bookmarkEnd w:id="23"/>
          <w:p w14:paraId="373985BD">
            <w:pPr>
              <w:pStyle w:val="7"/>
            </w:pPr>
            <w:r>
              <w:rPr>
                <w:rFonts w:hint="eastAsia"/>
              </w:rPr>
              <w:t>（2）项目与《中国—马来西亚钦州产业园区总体规划修编环境影响报告书》审查意见的符合性</w:t>
            </w:r>
          </w:p>
          <w:p w14:paraId="4685E2BE">
            <w:pPr>
              <w:pStyle w:val="3"/>
              <w:ind w:firstLine="480"/>
            </w:pPr>
            <w:r>
              <w:rPr>
                <w:rFonts w:hint="eastAsia"/>
              </w:rPr>
              <w:t>规划环评审查意见：主动对接生态保护红线划定和国土空间规划编制，将生态保护红线作为保障和维护区域生态安全的底线，依法依规实施强制性保护。严格保护广西茅尾海红树林自然保护区、滨海湿地、金窝水库饮用水源一级保护区等生态保护区。严格落实规划空间用地方案，优化空间开发格局，尽快完善园区搬迁规划及实施。</w:t>
            </w:r>
          </w:p>
          <w:p w14:paraId="7099EC75">
            <w:pPr>
              <w:pStyle w:val="3"/>
              <w:ind w:firstLine="480"/>
            </w:pPr>
            <w:r>
              <w:rPr>
                <w:rFonts w:hint="eastAsia"/>
              </w:rPr>
              <w:t>本项目为标准厂房及配套设施子项项目，符合用地规划要求，不占用生态红线，项目占地不涉及广西茅尾海红树林自然保护区、滨海湿地、金窝水库饮用水源一级保护区等生态保护区，符合有关保护条例要求。</w:t>
            </w:r>
          </w:p>
          <w:p w14:paraId="679FF8FE">
            <w:pPr>
              <w:pStyle w:val="49"/>
            </w:pPr>
            <w:r>
              <w:rPr>
                <w:rFonts w:hint="eastAsia"/>
              </w:rPr>
              <w:t xml:space="preserve">表1- </w:t>
            </w:r>
            <w:r>
              <w:t>3</w:t>
            </w:r>
            <w:r>
              <w:rPr>
                <w:rFonts w:hint="eastAsia"/>
              </w:rPr>
              <w:t>规划环评负面清单符合性一览表</w:t>
            </w:r>
          </w:p>
          <w:tbl>
            <w:tblPr>
              <w:tblStyle w:val="5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517"/>
              <w:gridCol w:w="3003"/>
              <w:gridCol w:w="3266"/>
              <w:gridCol w:w="604"/>
            </w:tblGrid>
            <w:tr w14:paraId="62A9D9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50" w:type="pct"/>
                  <w:tcBorders>
                    <w:top w:val="single" w:color="auto" w:sz="12" w:space="0"/>
                    <w:left w:val="nil"/>
                    <w:bottom w:val="single" w:color="auto" w:sz="12" w:space="0"/>
                    <w:right w:val="single" w:color="auto" w:sz="4" w:space="0"/>
                    <w:insideH w:val="single" w:sz="12" w:space="0"/>
                    <w:insideV w:val="single" w:sz="4" w:space="0"/>
                    <w:tl2br w:val="nil"/>
                    <w:tr2bl w:val="nil"/>
                  </w:tcBorders>
                  <w:vAlign w:val="center"/>
                </w:tcPr>
                <w:p w14:paraId="4CA06ED2">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z w:val="21"/>
                      <w:szCs w:val="21"/>
                      <w14:ligatures w14:val="standardContextual"/>
                    </w:rPr>
                  </w:pPr>
                  <w:r>
                    <w:rPr>
                      <w:rFonts w:hint="eastAsia" w:ascii="Times New Roman" w:hAnsi="Times New Roman" w:eastAsia="宋体" w:cs="Times New Roman"/>
                      <w:b/>
                      <w:i w:val="0"/>
                      <w:sz w:val="21"/>
                      <w:szCs w:val="21"/>
                      <w14:ligatures w14:val="standardContextual"/>
                    </w:rPr>
                    <w:t>序号</w:t>
                  </w:r>
                </w:p>
              </w:tc>
              <w:tc>
                <w:tcPr>
                  <w:tcW w:w="2032"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41C83B51">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z w:val="21"/>
                      <w:szCs w:val="21"/>
                      <w14:ligatures w14:val="standardContextual"/>
                    </w:rPr>
                  </w:pPr>
                  <w:r>
                    <w:rPr>
                      <w:rFonts w:hint="eastAsia" w:ascii="Times New Roman" w:hAnsi="Times New Roman" w:eastAsia="宋体" w:cs="Times New Roman"/>
                      <w:b/>
                      <w:i w:val="0"/>
                      <w:sz w:val="21"/>
                      <w:szCs w:val="21"/>
                      <w14:ligatures w14:val="standardContextual"/>
                    </w:rPr>
                    <w:t>负面清单</w:t>
                  </w:r>
                </w:p>
              </w:tc>
              <w:tc>
                <w:tcPr>
                  <w:tcW w:w="2210"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399861C7">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z w:val="21"/>
                      <w:szCs w:val="21"/>
                      <w14:ligatures w14:val="standardContextual"/>
                    </w:rPr>
                  </w:pPr>
                  <w:r>
                    <w:rPr>
                      <w:rFonts w:hint="eastAsia" w:ascii="Times New Roman" w:hAnsi="Times New Roman" w:eastAsia="宋体" w:cs="Times New Roman"/>
                      <w:b/>
                      <w:i w:val="0"/>
                      <w:sz w:val="21"/>
                      <w:szCs w:val="21"/>
                      <w14:ligatures w14:val="standardContextual"/>
                    </w:rPr>
                    <w:t>本项目情况</w:t>
                  </w:r>
                </w:p>
              </w:tc>
              <w:tc>
                <w:tcPr>
                  <w:tcW w:w="409" w:type="pct"/>
                  <w:tcBorders>
                    <w:top w:val="single" w:color="auto" w:sz="12" w:space="0"/>
                    <w:bottom w:val="single" w:color="auto" w:sz="12" w:space="0"/>
                    <w:right w:val="nil"/>
                    <w:insideH w:val="single" w:sz="12" w:space="0"/>
                    <w:insideV w:val="single" w:sz="4" w:space="0"/>
                    <w:tl2br w:val="nil"/>
                    <w:tr2bl w:val="nil"/>
                  </w:tcBorders>
                  <w:vAlign w:val="center"/>
                </w:tcPr>
                <w:p w14:paraId="25EBD07C">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z w:val="21"/>
                      <w:szCs w:val="21"/>
                      <w14:ligatures w14:val="standardContextual"/>
                    </w:rPr>
                  </w:pPr>
                  <w:r>
                    <w:rPr>
                      <w:rFonts w:hint="eastAsia" w:ascii="Times New Roman" w:hAnsi="Times New Roman" w:eastAsia="宋体" w:cs="Times New Roman"/>
                      <w:b/>
                      <w:i w:val="0"/>
                      <w:sz w:val="21"/>
                      <w:szCs w:val="21"/>
                      <w14:ligatures w14:val="standardContextual"/>
                    </w:rPr>
                    <w:t>符合性</w:t>
                  </w:r>
                </w:p>
              </w:tc>
            </w:tr>
            <w:tr w14:paraId="164779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50" w:type="pct"/>
                  <w:vAlign w:val="center"/>
                </w:tcPr>
                <w:p w14:paraId="290C9C8B">
                  <w:pPr>
                    <w:widowControl w:val="0"/>
                    <w:overflowPunct w:val="0"/>
                    <w:autoSpaceDE w:val="0"/>
                    <w:autoSpaceDN w:val="0"/>
                    <w:snapToGrid w:val="0"/>
                    <w:jc w:val="center"/>
                    <w:rPr>
                      <w14:ligatures w14:val="standardContextual"/>
                    </w:rPr>
                  </w:pPr>
                  <w:r>
                    <w:rPr>
                      <w:rFonts w:hint="eastAsia"/>
                      <w14:ligatures w14:val="standardContextual"/>
                    </w:rPr>
                    <w:t>1</w:t>
                  </w:r>
                </w:p>
              </w:tc>
              <w:tc>
                <w:tcPr>
                  <w:tcW w:w="2032" w:type="pct"/>
                  <w:vAlign w:val="center"/>
                </w:tcPr>
                <w:p w14:paraId="474AA68E">
                  <w:pPr>
                    <w:widowControl w:val="0"/>
                    <w:overflowPunct w:val="0"/>
                    <w:autoSpaceDE w:val="0"/>
                    <w:autoSpaceDN w:val="0"/>
                    <w:snapToGrid w:val="0"/>
                    <w:jc w:val="center"/>
                    <w:rPr>
                      <w14:ligatures w14:val="standardContextual"/>
                    </w:rPr>
                  </w:pPr>
                  <w:r>
                    <w:rPr>
                      <w:rFonts w:hint="eastAsia"/>
                      <w14:ligatures w14:val="standardContextual"/>
                    </w:rPr>
                    <w:t>禁止引进不符合中马产业园规划定位的高污染、高</w:t>
                  </w:r>
                </w:p>
                <w:p w14:paraId="63DE468D">
                  <w:pPr>
                    <w:widowControl w:val="0"/>
                    <w:overflowPunct w:val="0"/>
                    <w:autoSpaceDE w:val="0"/>
                    <w:autoSpaceDN w:val="0"/>
                    <w:snapToGrid w:val="0"/>
                    <w:jc w:val="center"/>
                    <w:rPr>
                      <w14:ligatures w14:val="standardContextual"/>
                    </w:rPr>
                  </w:pPr>
                  <w:r>
                    <w:rPr>
                      <w:rFonts w:hint="eastAsia"/>
                      <w14:ligatures w14:val="standardContextual"/>
                    </w:rPr>
                    <w:t>能耗项目;</w:t>
                  </w:r>
                </w:p>
              </w:tc>
              <w:tc>
                <w:tcPr>
                  <w:tcW w:w="2210" w:type="pct"/>
                  <w:vAlign w:val="center"/>
                </w:tcPr>
                <w:p w14:paraId="6145890E">
                  <w:pPr>
                    <w:widowControl w:val="0"/>
                    <w:overflowPunct w:val="0"/>
                    <w:autoSpaceDE w:val="0"/>
                    <w:autoSpaceDN w:val="0"/>
                    <w:snapToGrid w:val="0"/>
                    <w:jc w:val="center"/>
                    <w:rPr>
                      <w14:ligatures w14:val="standardContextual"/>
                    </w:rPr>
                  </w:pPr>
                  <w:r>
                    <w:rPr>
                      <w:rFonts w:hint="eastAsia"/>
                      <w14:ligatures w14:val="standardContextual"/>
                    </w:rPr>
                    <w:t>本项目不属于高污染、高能耗项目，项目建成后可实现园区内集中供热。</w:t>
                  </w:r>
                </w:p>
              </w:tc>
              <w:tc>
                <w:tcPr>
                  <w:tcW w:w="409" w:type="pct"/>
                  <w:vAlign w:val="center"/>
                </w:tcPr>
                <w:p w14:paraId="43A7C543">
                  <w:pPr>
                    <w:widowControl w:val="0"/>
                    <w:overflowPunct w:val="0"/>
                    <w:autoSpaceDE w:val="0"/>
                    <w:autoSpaceDN w:val="0"/>
                    <w:snapToGrid w:val="0"/>
                    <w:jc w:val="center"/>
                    <w:rPr>
                      <w14:ligatures w14:val="standardContextual"/>
                    </w:rPr>
                  </w:pPr>
                  <w:r>
                    <w:rPr>
                      <w:rFonts w:hint="eastAsia"/>
                      <w14:ligatures w14:val="standardContextual"/>
                    </w:rPr>
                    <w:t>符合</w:t>
                  </w:r>
                </w:p>
              </w:tc>
            </w:tr>
            <w:tr w14:paraId="4F2B6C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50" w:type="pct"/>
                  <w:vAlign w:val="center"/>
                </w:tcPr>
                <w:p w14:paraId="16005ABB">
                  <w:pPr>
                    <w:widowControl w:val="0"/>
                    <w:overflowPunct w:val="0"/>
                    <w:autoSpaceDE w:val="0"/>
                    <w:autoSpaceDN w:val="0"/>
                    <w:snapToGrid w:val="0"/>
                    <w:jc w:val="center"/>
                    <w:rPr>
                      <w14:ligatures w14:val="standardContextual"/>
                    </w:rPr>
                  </w:pPr>
                  <w:r>
                    <w:rPr>
                      <w:rFonts w:hint="eastAsia"/>
                      <w14:ligatures w14:val="standardContextual"/>
                    </w:rPr>
                    <w:t>2</w:t>
                  </w:r>
                </w:p>
              </w:tc>
              <w:tc>
                <w:tcPr>
                  <w:tcW w:w="2032" w:type="pct"/>
                  <w:vAlign w:val="center"/>
                </w:tcPr>
                <w:p w14:paraId="3EB2FC00">
                  <w:pPr>
                    <w:widowControl w:val="0"/>
                    <w:overflowPunct w:val="0"/>
                    <w:autoSpaceDE w:val="0"/>
                    <w:autoSpaceDN w:val="0"/>
                    <w:snapToGrid w:val="0"/>
                    <w:jc w:val="center"/>
                    <w:rPr>
                      <w14:ligatures w14:val="standardContextual"/>
                    </w:rPr>
                  </w:pPr>
                  <w:r>
                    <w:rPr>
                      <w:rFonts w:hint="eastAsia"/>
                      <w14:ligatures w14:val="standardContextual"/>
                    </w:rPr>
                    <w:t>禁止引进排放含铅、镉、汞、铬和砷五种重金属的</w:t>
                  </w:r>
                </w:p>
                <w:p w14:paraId="26A582DD">
                  <w:pPr>
                    <w:widowControl w:val="0"/>
                    <w:overflowPunct w:val="0"/>
                    <w:autoSpaceDE w:val="0"/>
                    <w:autoSpaceDN w:val="0"/>
                    <w:snapToGrid w:val="0"/>
                    <w:jc w:val="center"/>
                    <w:rPr>
                      <w14:ligatures w14:val="standardContextual"/>
                    </w:rPr>
                  </w:pPr>
                  <w:r>
                    <w:rPr>
                      <w:rFonts w:hint="eastAsia"/>
                      <w14:ligatures w14:val="standardContextual"/>
                    </w:rPr>
                    <w:t>项目</w:t>
                  </w:r>
                </w:p>
              </w:tc>
              <w:tc>
                <w:tcPr>
                  <w:tcW w:w="2210" w:type="pct"/>
                  <w:vAlign w:val="center"/>
                </w:tcPr>
                <w:p w14:paraId="369A2457">
                  <w:pPr>
                    <w:widowControl w:val="0"/>
                    <w:overflowPunct w:val="0"/>
                    <w:autoSpaceDE w:val="0"/>
                    <w:autoSpaceDN w:val="0"/>
                    <w:snapToGrid w:val="0"/>
                    <w:jc w:val="center"/>
                    <w:rPr>
                      <w14:ligatures w14:val="standardContextual"/>
                    </w:rPr>
                  </w:pPr>
                  <w:r>
                    <w:rPr>
                      <w:rFonts w:hint="eastAsia"/>
                      <w14:ligatures w14:val="standardContextual"/>
                    </w:rPr>
                    <w:t>本项目不涉及重金属排放。</w:t>
                  </w:r>
                </w:p>
              </w:tc>
              <w:tc>
                <w:tcPr>
                  <w:tcW w:w="409" w:type="pct"/>
                  <w:vAlign w:val="center"/>
                </w:tcPr>
                <w:p w14:paraId="5270DF18">
                  <w:pPr>
                    <w:widowControl w:val="0"/>
                    <w:overflowPunct w:val="0"/>
                    <w:autoSpaceDE w:val="0"/>
                    <w:autoSpaceDN w:val="0"/>
                    <w:snapToGrid w:val="0"/>
                    <w:jc w:val="center"/>
                    <w:rPr>
                      <w14:ligatures w14:val="standardContextual"/>
                    </w:rPr>
                  </w:pPr>
                  <w:r>
                    <w:rPr>
                      <w:rFonts w:hint="eastAsia"/>
                      <w14:ligatures w14:val="standardContextual"/>
                    </w:rPr>
                    <w:t>符合</w:t>
                  </w:r>
                </w:p>
              </w:tc>
            </w:tr>
            <w:tr w14:paraId="26C9E0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50" w:type="pct"/>
                  <w:vAlign w:val="center"/>
                </w:tcPr>
                <w:p w14:paraId="4FDF90EA">
                  <w:pPr>
                    <w:widowControl w:val="0"/>
                    <w:overflowPunct w:val="0"/>
                    <w:autoSpaceDE w:val="0"/>
                    <w:autoSpaceDN w:val="0"/>
                    <w:snapToGrid w:val="0"/>
                    <w:jc w:val="center"/>
                    <w:rPr>
                      <w14:ligatures w14:val="standardContextual"/>
                    </w:rPr>
                  </w:pPr>
                  <w:r>
                    <w:rPr>
                      <w:rFonts w:hint="eastAsia"/>
                      <w14:ligatures w14:val="standardContextual"/>
                    </w:rPr>
                    <w:t>3</w:t>
                  </w:r>
                </w:p>
              </w:tc>
              <w:tc>
                <w:tcPr>
                  <w:tcW w:w="2032" w:type="pct"/>
                  <w:vAlign w:val="center"/>
                </w:tcPr>
                <w:p w14:paraId="4EC74EED">
                  <w:pPr>
                    <w:widowControl w:val="0"/>
                    <w:overflowPunct w:val="0"/>
                    <w:autoSpaceDE w:val="0"/>
                    <w:autoSpaceDN w:val="0"/>
                    <w:snapToGrid w:val="0"/>
                    <w:jc w:val="center"/>
                    <w:rPr>
                      <w14:ligatures w14:val="standardContextual"/>
                    </w:rPr>
                  </w:pPr>
                  <w:r>
                    <w:rPr>
                      <w:rFonts w:hint="eastAsia"/>
                      <w14:ligatures w14:val="standardContextual"/>
                    </w:rPr>
                    <w:t>禁止引进可能破坏中马产业园规划范围天然红树林生态系统的项目</w:t>
                  </w:r>
                </w:p>
              </w:tc>
              <w:tc>
                <w:tcPr>
                  <w:tcW w:w="2210" w:type="pct"/>
                  <w:vAlign w:val="center"/>
                </w:tcPr>
                <w:p w14:paraId="4F2BC5D8">
                  <w:pPr>
                    <w:widowControl w:val="0"/>
                    <w:overflowPunct w:val="0"/>
                    <w:autoSpaceDE w:val="0"/>
                    <w:autoSpaceDN w:val="0"/>
                    <w:snapToGrid w:val="0"/>
                    <w:jc w:val="center"/>
                    <w:rPr>
                      <w14:ligatures w14:val="standardContextual"/>
                    </w:rPr>
                  </w:pPr>
                  <w:r>
                    <w:rPr>
                      <w:rFonts w:hint="eastAsia"/>
                      <w14:ligatures w14:val="standardContextual"/>
                    </w:rPr>
                    <w:t>本项目不涉及红树林。</w:t>
                  </w:r>
                </w:p>
              </w:tc>
              <w:tc>
                <w:tcPr>
                  <w:tcW w:w="409" w:type="pct"/>
                  <w:vAlign w:val="center"/>
                </w:tcPr>
                <w:p w14:paraId="5D51D0F3">
                  <w:pPr>
                    <w:widowControl w:val="0"/>
                    <w:overflowPunct w:val="0"/>
                    <w:autoSpaceDE w:val="0"/>
                    <w:autoSpaceDN w:val="0"/>
                    <w:snapToGrid w:val="0"/>
                    <w:jc w:val="center"/>
                    <w:rPr>
                      <w14:ligatures w14:val="standardContextual"/>
                    </w:rPr>
                  </w:pPr>
                  <w:r>
                    <w:rPr>
                      <w:rFonts w:hint="eastAsia"/>
                      <w14:ligatures w14:val="standardContextual"/>
                    </w:rPr>
                    <w:t>符合</w:t>
                  </w:r>
                </w:p>
              </w:tc>
            </w:tr>
          </w:tbl>
          <w:p w14:paraId="4EC2703C">
            <w:pPr>
              <w:pStyle w:val="3"/>
              <w:ind w:firstLine="480"/>
            </w:pPr>
          </w:p>
        </w:tc>
      </w:tr>
      <w:tr w14:paraId="3F8161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722" w:type="dxa"/>
            <w:vAlign w:val="center"/>
          </w:tcPr>
          <w:p w14:paraId="24C83956">
            <w:pPr>
              <w:autoSpaceDE w:val="0"/>
              <w:autoSpaceDN w:val="0"/>
              <w:snapToGrid w:val="0"/>
              <w:jc w:val="center"/>
              <w:rPr>
                <w:rFonts w:cs="宋体"/>
                <w:sz w:val="24"/>
              </w:rPr>
            </w:pPr>
            <w:r>
              <w:rPr>
                <w:rFonts w:hint="eastAsia" w:cs="宋体"/>
                <w:sz w:val="24"/>
              </w:rPr>
              <w:t>其他符合性分析</w:t>
            </w:r>
          </w:p>
        </w:tc>
        <w:tc>
          <w:tcPr>
            <w:tcW w:w="7564" w:type="dxa"/>
            <w:gridSpan w:val="4"/>
            <w:vAlign w:val="center"/>
          </w:tcPr>
          <w:p w14:paraId="304C54DC">
            <w:pPr>
              <w:pStyle w:val="7"/>
            </w:pPr>
            <w:r>
              <w:rPr>
                <w:rFonts w:hint="eastAsia"/>
              </w:rPr>
              <w:t>1、产业政策符合性分析</w:t>
            </w:r>
          </w:p>
          <w:p w14:paraId="69EA9D37">
            <w:pPr>
              <w:pStyle w:val="3"/>
              <w:ind w:firstLine="480"/>
            </w:pPr>
            <w:r>
              <w:rPr>
                <w:rFonts w:hint="eastAsia"/>
              </w:rPr>
              <w:t>根据《产业结构调整指导目录（20</w:t>
            </w:r>
            <w:r>
              <w:t>24</w:t>
            </w:r>
            <w:r>
              <w:rPr>
                <w:rFonts w:hint="eastAsia"/>
              </w:rPr>
              <w:t>年本）》（国家发展和改革委员会令第</w:t>
            </w:r>
            <w:r>
              <w:t>7</w:t>
            </w:r>
            <w:r>
              <w:rPr>
                <w:rFonts w:hint="eastAsia"/>
              </w:rPr>
              <w:t>号），本项目不属于鼓励类、限制类、淘汰类产业，视为允许类，符合国家产业政策要求。</w:t>
            </w:r>
          </w:p>
          <w:p w14:paraId="67F7F55E">
            <w:pPr>
              <w:pStyle w:val="3"/>
              <w:ind w:firstLine="480"/>
            </w:pPr>
            <w:r>
              <w:rPr>
                <w:rFonts w:hint="eastAsia"/>
              </w:rPr>
              <w:t>本项目已在中国(广西)自由贸易试验区钦州港片区行政审批局进行备案，审批文号为“自贸钦审批设〔2024〕40号”，符合国家有关产业政策的要求。</w:t>
            </w:r>
          </w:p>
          <w:p w14:paraId="2975EE75">
            <w:pPr>
              <w:pStyle w:val="7"/>
            </w:pPr>
            <w:r>
              <w:rPr>
                <w:rFonts w:hint="eastAsia"/>
              </w:rPr>
              <w:t>2、选址可行性分析</w:t>
            </w:r>
          </w:p>
          <w:p w14:paraId="6392464D">
            <w:pPr>
              <w:pStyle w:val="3"/>
              <w:ind w:firstLine="480"/>
            </w:pPr>
            <w:r>
              <w:rPr>
                <w:rFonts w:hint="eastAsia"/>
              </w:rPr>
              <w:t>（1）规划选址符合性分析</w:t>
            </w:r>
          </w:p>
          <w:p w14:paraId="1C23A576">
            <w:pPr>
              <w:pStyle w:val="3"/>
              <w:ind w:firstLine="480"/>
            </w:pPr>
            <w:r>
              <w:rPr>
                <w:rFonts w:hint="eastAsia"/>
              </w:rPr>
              <w:t>根据《自然资源要素支撑产业高质量发展指导目录（2024年本）》（自然资发〔2024〕273号）的通知，项目选址位于中马钦州产业园区马莱大道以北片区，东临六钦高速延长线，西至锦绣大道，南起马莱大道，北至马淑路，用地性质属于工业用地，不属于禁止类和限制类中的建设项目，不属于该文件中限批或禁批的范围。</w:t>
            </w:r>
          </w:p>
          <w:p w14:paraId="10E399CA">
            <w:pPr>
              <w:pStyle w:val="3"/>
              <w:ind w:firstLine="480"/>
            </w:pPr>
            <w:r>
              <w:rPr>
                <w:rFonts w:hint="eastAsia"/>
              </w:rPr>
              <w:t>（2）选址所在地环境敏感度分析</w:t>
            </w:r>
          </w:p>
          <w:p w14:paraId="06024FED">
            <w:pPr>
              <w:pStyle w:val="3"/>
              <w:ind w:firstLine="480"/>
            </w:pPr>
            <w:r>
              <w:rPr>
                <w:rFonts w:hint="eastAsia"/>
              </w:rPr>
              <w:t>项目选址位于中马钦州产业园区马莱大道以北片区，东临六钦高速延长线，西至锦绣大道，南起马莱大道，北至马淑路，不属于生活饮用水源地和地下水补给区、风景名胜区、温泉疗养区、水产养殖区、基本农田保护区、自然保护区等需要特殊保护区域。</w:t>
            </w:r>
          </w:p>
          <w:p w14:paraId="6E4D471F">
            <w:pPr>
              <w:pStyle w:val="7"/>
            </w:pPr>
            <w:r>
              <w:rPr>
                <w:rFonts w:hint="eastAsia"/>
              </w:rPr>
              <w:t>3、与“三线一单”符合性分析</w:t>
            </w:r>
          </w:p>
          <w:p w14:paraId="0A028EAB">
            <w:pPr>
              <w:pStyle w:val="3"/>
              <w:ind w:firstLine="480"/>
            </w:pPr>
            <w:r>
              <w:rPr>
                <w:rFonts w:hint="eastAsia"/>
              </w:rPr>
              <w:t>（1）生态保护红线</w:t>
            </w:r>
          </w:p>
          <w:p w14:paraId="15E2DA78">
            <w:pPr>
              <w:pStyle w:val="3"/>
              <w:ind w:firstLine="480"/>
            </w:pPr>
            <w:r>
              <w:rPr>
                <w:rFonts w:hint="eastAsia"/>
              </w:rPr>
              <w:t>项目位于工业园区内，所在土地不涉及基本草原、国家级公益林、自然保护区、森林公园、湿地、林地。符合项目所在占地面积内的规划主导生态功能区范围内，且不在风景区、自然保护区等生态保护区内，符合生态保护红线要求。</w:t>
            </w:r>
          </w:p>
          <w:p w14:paraId="71BF35E5">
            <w:pPr>
              <w:pStyle w:val="3"/>
              <w:ind w:firstLine="480"/>
            </w:pPr>
            <w:r>
              <w:rPr>
                <w:rFonts w:hint="eastAsia"/>
              </w:rPr>
              <w:t>（2）环境质量底线</w:t>
            </w:r>
          </w:p>
          <w:p w14:paraId="278C1846">
            <w:pPr>
              <w:pStyle w:val="3"/>
              <w:ind w:firstLine="480"/>
            </w:pPr>
            <w:r>
              <w:rPr>
                <w:rFonts w:hint="eastAsia"/>
              </w:rPr>
              <w:t>根据项目环境功能区区划，项目区域环境空气质量执行《环境空气质量标准》（GB3095-2012）中</w:t>
            </w:r>
            <w:r>
              <w:rPr>
                <w:rFonts w:hint="eastAsia"/>
                <w:b/>
                <w:bCs/>
              </w:rPr>
              <w:t>二类区</w:t>
            </w:r>
            <w:r>
              <w:rPr>
                <w:rFonts w:hint="eastAsia"/>
              </w:rPr>
              <w:t>标准，海域环境质量执行海水水质标准（</w:t>
            </w:r>
            <w:r>
              <w:t>GB 3097-1997</w:t>
            </w:r>
            <w:r>
              <w:rPr>
                <w:rFonts w:hint="eastAsia"/>
              </w:rPr>
              <w:t>）第四类标准限值，声环境执行《声环境质量标准》（GB3095-2008）</w:t>
            </w:r>
            <w:r>
              <w:rPr>
                <w:rFonts w:hint="eastAsia"/>
                <w:b/>
                <w:bCs/>
              </w:rPr>
              <w:t>3类</w:t>
            </w:r>
            <w:r>
              <w:rPr>
                <w:rFonts w:hint="eastAsia"/>
              </w:rPr>
              <w:t>标准。目前，项目所在区域环境质量均能达到相应环境质量标准要求。</w:t>
            </w:r>
          </w:p>
          <w:p w14:paraId="04F025E3">
            <w:pPr>
              <w:pStyle w:val="3"/>
              <w:ind w:firstLine="480"/>
            </w:pPr>
            <w:r>
              <w:rPr>
                <w:rFonts w:hint="eastAsia"/>
              </w:rPr>
              <w:t>根据工程分析确定的污染物源强，通过大气环境、水环境、声环境影响分析，项目采取相应的治理措施后，污染物实现达标排放对区域环境空气、水环境、声环境影响较小，废气、废水、固废、噪声均能达到合理处置，不会突破项目所在地的环境质量底线。本项目的建设符合环境质量底线要求。</w:t>
            </w:r>
          </w:p>
          <w:p w14:paraId="0BEA3B27">
            <w:pPr>
              <w:pStyle w:val="3"/>
              <w:ind w:firstLine="480"/>
            </w:pPr>
            <w:r>
              <w:rPr>
                <w:rFonts w:hint="eastAsia"/>
              </w:rPr>
              <w:t>（3）资源利用上线管控要求</w:t>
            </w:r>
          </w:p>
          <w:p w14:paraId="7E8E2286">
            <w:pPr>
              <w:pStyle w:val="3"/>
              <w:ind w:firstLine="480"/>
            </w:pPr>
            <w:r>
              <w:rPr>
                <w:rFonts w:hint="eastAsia"/>
              </w:rPr>
              <w:t>项目在运营过程中会消耗生物质燃料、水源、电源等，且项目布局合理，极大地节约了资源的利用，符合资源利用上限的要求。</w:t>
            </w:r>
          </w:p>
          <w:p w14:paraId="2DCF7195">
            <w:pPr>
              <w:pStyle w:val="3"/>
              <w:ind w:firstLine="480"/>
            </w:pPr>
            <w:r>
              <w:rPr>
                <w:rFonts w:hint="eastAsia"/>
              </w:rPr>
              <w:t>（4）环境准入负面清单</w:t>
            </w:r>
          </w:p>
          <w:p w14:paraId="73864412">
            <w:pPr>
              <w:pStyle w:val="3"/>
              <w:ind w:firstLine="480"/>
            </w:pPr>
            <w:r>
              <w:rPr>
                <w:rFonts w:hint="eastAsia"/>
              </w:rPr>
              <w:t>项目未列入《广西壮族自治区重点生态功能区县产业准入负面清单调整方案》（2024年4月16日）中的产业准入负面清单。不属于负面清单产业。</w:t>
            </w:r>
          </w:p>
          <w:p w14:paraId="43C142E9">
            <w:pPr>
              <w:pStyle w:val="3"/>
              <w:ind w:firstLine="480"/>
            </w:pPr>
            <w:r>
              <w:rPr>
                <w:rFonts w:hint="eastAsia"/>
              </w:rPr>
              <w:t>综上所述，本项目符合“三线一单”的要求。</w:t>
            </w:r>
          </w:p>
          <w:p w14:paraId="701D6BAA">
            <w:pPr>
              <w:pStyle w:val="7"/>
            </w:pPr>
            <w:r>
              <w:rPr>
                <w:rFonts w:hint="eastAsia"/>
              </w:rPr>
              <w:t>3、</w:t>
            </w:r>
            <w:r>
              <w:rPr>
                <w:rFonts w:hint="eastAsia"/>
                <w:color w:val="auto"/>
                <w:u w:val="single"/>
              </w:rPr>
              <w:t>与《钦州市生态环境分区管控动态更新成果（2023版）》相符性分析</w:t>
            </w:r>
          </w:p>
          <w:p w14:paraId="51EBAEE5">
            <w:pPr>
              <w:pStyle w:val="3"/>
              <w:ind w:firstLine="480"/>
            </w:pPr>
            <w:r>
              <w:rPr>
                <w:rFonts w:hint="eastAsia"/>
              </w:rPr>
              <w:t>根据生态环境部办公厅关于印发《2023年生态环境分区管控成果动态更新工作方案》的通知（环办环评函〔2023〕81号）以及自治区工作要求，重点围绕“三区三线”划定成果和国家、自治区以及钦州市重大战略规划、“十四五”环境质量、能源资源管理目标和要求等，对钦州市生态环境分区管控成果进行更新调整。调整后全市陆域共划分为64个环境管控单元。其中，优先保护单元34个，面积占比16.32%；重点管控单元26个，面积占比25.28%；一般管控单元4个，面积占比58.41%。近岸海域共划分为63个环境管控单元，其中，优先保护单元25个，面积占比10.78%；重点管控单元31个，面积占比6.74%；一般管控单元 7个，面积占比82.48%。</w:t>
            </w:r>
          </w:p>
          <w:p w14:paraId="6ACCFC5E">
            <w:pPr>
              <w:pStyle w:val="3"/>
              <w:ind w:firstLine="480"/>
            </w:pPr>
            <w:r>
              <w:rPr>
                <w:rFonts w:hint="eastAsia"/>
              </w:rPr>
              <w:t>根据项目研判初步结论（详见附件6），项目涉及1个环境管控单元，其中优先保护类0个，重点管控类1个，一般管控类0个。</w:t>
            </w:r>
          </w:p>
          <w:p w14:paraId="626E5625">
            <w:pPr>
              <w:pStyle w:val="3"/>
              <w:ind w:firstLine="480"/>
            </w:pPr>
            <w:r>
              <w:rPr>
                <w:rFonts w:hint="eastAsia"/>
              </w:rPr>
              <w:t>根据</w:t>
            </w:r>
            <w:r>
              <w:rPr>
                <w:rFonts w:hint="eastAsia"/>
                <w:color w:val="auto"/>
                <w:u w:val="single"/>
              </w:rPr>
              <w:t>《钦州市生态环境分区管控动态更新成果（2023版）》</w:t>
            </w:r>
            <w:r>
              <w:rPr>
                <w:rFonts w:hint="eastAsia"/>
              </w:rPr>
              <w:t>可知，项目选址属于中国—马来西亚钦州产业园区重点管控单元（具体位置见附图4），与本项目建设有关的生态环境准入及管控要求如下：</w:t>
            </w:r>
          </w:p>
          <w:p w14:paraId="59E111D6">
            <w:pPr>
              <w:pStyle w:val="49"/>
            </w:pPr>
            <w:bookmarkStart w:id="24" w:name="_Ref175248391"/>
            <w:bookmarkStart w:id="25" w:name="_Ref175248448"/>
            <w:r>
              <w:rPr>
                <w:rFonts w:hint="eastAsia"/>
              </w:rPr>
              <w:t xml:space="preserve">表1- </w:t>
            </w:r>
            <w:r>
              <w:t>4</w:t>
            </w:r>
            <w:bookmarkEnd w:id="24"/>
            <w:r>
              <w:rPr>
                <w:rFonts w:hint="eastAsia"/>
              </w:rPr>
              <w:t>：项目与中国－马来西亚钦州产业园区重点管控单元生态环境准入及管控要求的符合性</w:t>
            </w:r>
            <w:bookmarkEnd w:id="25"/>
          </w:p>
          <w:tbl>
            <w:tblPr>
              <w:tblStyle w:val="5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789"/>
              <w:gridCol w:w="3491"/>
              <w:gridCol w:w="3110"/>
            </w:tblGrid>
            <w:tr w14:paraId="792919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34" w:type="pct"/>
                  <w:tcBorders>
                    <w:top w:val="single" w:color="auto" w:sz="12" w:space="0"/>
                    <w:left w:val="nil"/>
                    <w:bottom w:val="single" w:color="auto" w:sz="12" w:space="0"/>
                    <w:right w:val="single" w:color="auto" w:sz="4" w:space="0"/>
                    <w:insideH w:val="single" w:sz="12" w:space="0"/>
                    <w:insideV w:val="single" w:sz="4" w:space="0"/>
                    <w:tl2br w:val="nil"/>
                    <w:tr2bl w:val="nil"/>
                  </w:tcBorders>
                  <w:vAlign w:val="center"/>
                </w:tcPr>
                <w:p w14:paraId="12E27FBF">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z w:val="21"/>
                      <w:szCs w:val="21"/>
                      <w14:ligatures w14:val="standardContextual"/>
                    </w:rPr>
                  </w:pPr>
                  <w:bookmarkStart w:id="26" w:name="_Hlk183124714"/>
                  <w:r>
                    <w:rPr>
                      <w:rFonts w:hint="default" w:ascii="Times New Roman" w:hAnsi="Times New Roman" w:eastAsia="宋体" w:cs="Times New Roman"/>
                      <w:b/>
                      <w:i w:val="0"/>
                      <w:sz w:val="21"/>
                      <w:szCs w:val="21"/>
                      <w14:ligatures w14:val="standardContextual"/>
                    </w:rPr>
                    <w:t>管控类别</w:t>
                  </w:r>
                </w:p>
              </w:tc>
              <w:tc>
                <w:tcPr>
                  <w:tcW w:w="2362"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164B7BA3">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z w:val="21"/>
                      <w:szCs w:val="21"/>
                      <w14:ligatures w14:val="standardContextual"/>
                    </w:rPr>
                  </w:pPr>
                  <w:r>
                    <w:rPr>
                      <w:rFonts w:hint="default" w:ascii="Times New Roman" w:hAnsi="Times New Roman" w:eastAsia="宋体" w:cs="Times New Roman"/>
                      <w:b/>
                      <w:i w:val="0"/>
                      <w:sz w:val="21"/>
                      <w:szCs w:val="21"/>
                      <w14:ligatures w14:val="standardContextual"/>
                    </w:rPr>
                    <w:t>生态环境准入及管控要求</w:t>
                  </w:r>
                </w:p>
              </w:tc>
              <w:tc>
                <w:tcPr>
                  <w:tcW w:w="2104" w:type="pct"/>
                  <w:tcBorders>
                    <w:top w:val="single" w:color="auto" w:sz="12" w:space="0"/>
                    <w:bottom w:val="single" w:color="auto" w:sz="12" w:space="0"/>
                    <w:right w:val="nil"/>
                    <w:insideH w:val="single" w:sz="12" w:space="0"/>
                    <w:insideV w:val="single" w:sz="4" w:space="0"/>
                    <w:tl2br w:val="nil"/>
                    <w:tr2bl w:val="nil"/>
                  </w:tcBorders>
                  <w:vAlign w:val="center"/>
                </w:tcPr>
                <w:p w14:paraId="68D2C6FF">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z w:val="21"/>
                      <w:szCs w:val="21"/>
                      <w14:ligatures w14:val="standardContextual"/>
                    </w:rPr>
                  </w:pPr>
                  <w:r>
                    <w:rPr>
                      <w:rFonts w:hint="default" w:ascii="Times New Roman" w:hAnsi="Times New Roman" w:eastAsia="宋体" w:cs="Times New Roman"/>
                      <w:b/>
                      <w:i w:val="0"/>
                      <w:sz w:val="21"/>
                      <w:szCs w:val="21"/>
                      <w14:ligatures w14:val="standardContextual"/>
                    </w:rPr>
                    <w:t>本项目情况</w:t>
                  </w:r>
                  <w:r>
                    <w:rPr>
                      <w:rFonts w:hint="eastAsia" w:ascii="Times New Roman" w:hAnsi="Times New Roman" w:eastAsia="宋体" w:cs="Times New Roman"/>
                      <w:b/>
                      <w:i w:val="0"/>
                      <w:sz w:val="21"/>
                      <w:szCs w:val="21"/>
                      <w14:ligatures w14:val="standardContextual"/>
                    </w:rPr>
                    <w:t>及符合性</w:t>
                  </w:r>
                </w:p>
              </w:tc>
            </w:tr>
            <w:tr w14:paraId="744A50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34" w:type="pct"/>
                  <w:vMerge w:val="restart"/>
                  <w:vAlign w:val="center"/>
                </w:tcPr>
                <w:p w14:paraId="38D65088">
                  <w:pPr>
                    <w:widowControl w:val="0"/>
                    <w:overflowPunct w:val="0"/>
                    <w:autoSpaceDE w:val="0"/>
                    <w:autoSpaceDN w:val="0"/>
                    <w:snapToGrid w:val="0"/>
                    <w:jc w:val="center"/>
                    <w:rPr>
                      <w14:ligatures w14:val="standardContextual"/>
                    </w:rPr>
                  </w:pPr>
                  <w:r>
                    <w:rPr>
                      <w14:ligatures w14:val="standardContextual"/>
                    </w:rPr>
                    <w:t>空间布局约束</w:t>
                  </w:r>
                </w:p>
              </w:tc>
              <w:tc>
                <w:tcPr>
                  <w:tcW w:w="2362" w:type="pct"/>
                  <w:vAlign w:val="center"/>
                </w:tcPr>
                <w:p w14:paraId="10DC3A9D">
                  <w:pPr>
                    <w:widowControl w:val="0"/>
                    <w:overflowPunct w:val="0"/>
                    <w:autoSpaceDE w:val="0"/>
                    <w:autoSpaceDN w:val="0"/>
                    <w:snapToGrid w:val="0"/>
                    <w:jc w:val="center"/>
                    <w:rPr>
                      <w14:ligatures w14:val="standardContextual"/>
                    </w:rPr>
                  </w:pPr>
                  <w:r>
                    <w:rPr>
                      <w:rFonts w:hint="eastAsia"/>
                      <w14:ligatures w14:val="standardContextual"/>
                    </w:rPr>
                    <w:t>1．严格执行《广西工业产业结构调整指导目录（2021年本）》相关规定；禁止引进不符合中马产业园规划定位的高污染、高能耗项目；禁止引进排放铅、镉、汞、铬和砷五种重金属的项目；禁止引进可能破坏园区规划范围天然红树林生态系统的项目。</w:t>
                  </w:r>
                </w:p>
              </w:tc>
              <w:tc>
                <w:tcPr>
                  <w:tcW w:w="2104" w:type="pct"/>
                  <w:vAlign w:val="center"/>
                </w:tcPr>
                <w:p w14:paraId="7D7B96FA">
                  <w:pPr>
                    <w:widowControl w:val="0"/>
                    <w:overflowPunct w:val="0"/>
                    <w:autoSpaceDE w:val="0"/>
                    <w:autoSpaceDN w:val="0"/>
                    <w:snapToGrid w:val="0"/>
                    <w:jc w:val="center"/>
                    <w:rPr>
                      <w14:ligatures w14:val="standardContextual"/>
                    </w:rPr>
                  </w:pPr>
                  <w:r>
                    <w:rPr>
                      <w14:ligatures w14:val="standardContextual"/>
                    </w:rPr>
                    <w:t>本项目为</w:t>
                  </w:r>
                  <w:r>
                    <w:rPr>
                      <w:rFonts w:hint="eastAsia"/>
                      <w14:ligatures w14:val="standardContextual"/>
                    </w:rPr>
                    <w:t>标准厂房及配套设施子项项目</w:t>
                  </w:r>
                  <w:r>
                    <w:rPr>
                      <w14:ligatures w14:val="standardContextual"/>
                    </w:rPr>
                    <w:t>，</w:t>
                  </w:r>
                  <w:r>
                    <w:rPr>
                      <w:rFonts w:hint="eastAsia"/>
                      <w14:ligatures w14:val="standardContextual"/>
                    </w:rPr>
                    <w:t>不属于该目录中的限制类、改造类、禁止类项目，</w:t>
                  </w:r>
                  <w:r>
                    <w:rPr>
                      <w14:ligatures w14:val="standardContextual"/>
                    </w:rPr>
                    <w:t>不属于高污染、高能耗项目；项目运营期不涉及铅、镉、汞、铬、砷五种重金属及持久性有机物排放；</w:t>
                  </w:r>
                  <w:bookmarkStart w:id="27" w:name="OLE_LINK146"/>
                  <w:r>
                    <w:rPr>
                      <w14:ligatures w14:val="standardContextual"/>
                    </w:rPr>
                    <w:t>本项目</w:t>
                  </w:r>
                  <w:r>
                    <w:rPr>
                      <w:rFonts w:hint="eastAsia"/>
                      <w14:ligatures w14:val="standardContextual"/>
                    </w:rPr>
                    <w:t>不涉及红树林分布区域</w:t>
                  </w:r>
                  <w:r>
                    <w:rPr>
                      <w14:ligatures w14:val="standardContextual"/>
                    </w:rPr>
                    <w:t>。</w:t>
                  </w:r>
                  <w:bookmarkEnd w:id="27"/>
                </w:p>
                <w:p w14:paraId="6BC15E44">
                  <w:pPr>
                    <w:widowControl w:val="0"/>
                    <w:overflowPunct w:val="0"/>
                    <w:autoSpaceDE w:val="0"/>
                    <w:autoSpaceDN w:val="0"/>
                    <w:snapToGrid w:val="0"/>
                    <w:jc w:val="center"/>
                    <w:rPr>
                      <w14:ligatures w14:val="standardContextual"/>
                    </w:rPr>
                  </w:pPr>
                  <w:r>
                    <w:rPr>
                      <w:rFonts w:hint="eastAsia"/>
                      <w14:ligatures w14:val="standardContextual"/>
                    </w:rPr>
                    <w:t>符合。</w:t>
                  </w:r>
                </w:p>
              </w:tc>
            </w:tr>
            <w:tr w14:paraId="4FC8A9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34" w:type="pct"/>
                  <w:vMerge w:val="continue"/>
                  <w:vAlign w:val="center"/>
                </w:tcPr>
                <w:p w14:paraId="62035EE4">
                  <w:pPr>
                    <w:widowControl w:val="0"/>
                    <w:overflowPunct w:val="0"/>
                    <w:autoSpaceDE w:val="0"/>
                    <w:autoSpaceDN w:val="0"/>
                    <w:snapToGrid w:val="0"/>
                    <w:jc w:val="center"/>
                    <w:rPr>
                      <w14:ligatures w14:val="standardContextual"/>
                    </w:rPr>
                  </w:pPr>
                </w:p>
              </w:tc>
              <w:tc>
                <w:tcPr>
                  <w:tcW w:w="2362" w:type="pct"/>
                  <w:vAlign w:val="center"/>
                </w:tcPr>
                <w:p w14:paraId="365C3229">
                  <w:pPr>
                    <w:widowControl w:val="0"/>
                    <w:overflowPunct w:val="0"/>
                    <w:autoSpaceDE w:val="0"/>
                    <w:autoSpaceDN w:val="0"/>
                    <w:snapToGrid w:val="0"/>
                    <w:jc w:val="center"/>
                    <w:rPr>
                      <w14:ligatures w14:val="standardContextual"/>
                    </w:rPr>
                  </w:pPr>
                  <w:r>
                    <w:rPr>
                      <w14:ligatures w14:val="standardContextual"/>
                    </w:rPr>
                    <w:t>2.园区内红树林分布区域按照《广西壮族自治区红树林资源保护条例》进行管理，在红树林自然保护区、红树林保护小区外的其他红树林地，禁止挖塘、填海造地、围堤、开垦、烧荒、开矿、采石、挖沙、取土；排放有毒有害物质或者倾倒固体、液体废弃物。禁止移植、砍伐红树林。因科研、医药、更新抚育、工程建设等特殊原因确需移植、砍伐红树林自然保护区外的红树林的，应当经主管部门批准。工程建设项目应当避让红树林地。</w:t>
                  </w:r>
                </w:p>
              </w:tc>
              <w:tc>
                <w:tcPr>
                  <w:tcW w:w="2104" w:type="pct"/>
                  <w:vAlign w:val="center"/>
                </w:tcPr>
                <w:p w14:paraId="4F76E750">
                  <w:pPr>
                    <w:widowControl w:val="0"/>
                    <w:overflowPunct w:val="0"/>
                    <w:autoSpaceDE w:val="0"/>
                    <w:autoSpaceDN w:val="0"/>
                    <w:snapToGrid w:val="0"/>
                    <w:jc w:val="center"/>
                    <w:rPr>
                      <w14:ligatures w14:val="standardContextual"/>
                    </w:rPr>
                  </w:pPr>
                  <w:r>
                    <w:rPr>
                      <w:rFonts w:hint="eastAsia"/>
                      <w14:ligatures w14:val="standardContextual"/>
                    </w:rPr>
                    <w:t>本项目</w:t>
                  </w:r>
                  <w:bookmarkStart w:id="28" w:name="OLE_LINK156"/>
                  <w:r>
                    <w:rPr>
                      <w:rFonts w:hint="eastAsia"/>
                      <w14:ligatures w14:val="standardContextual"/>
                    </w:rPr>
                    <w:t>不涉及</w:t>
                  </w:r>
                  <w:bookmarkEnd w:id="28"/>
                  <w:r>
                    <w:rPr>
                      <w:rFonts w:hint="eastAsia"/>
                      <w14:ligatures w14:val="standardContextual"/>
                    </w:rPr>
                    <w:t>红树林分布区域。</w:t>
                  </w:r>
                </w:p>
                <w:p w14:paraId="09FD26DD">
                  <w:pPr>
                    <w:widowControl w:val="0"/>
                    <w:overflowPunct w:val="0"/>
                    <w:autoSpaceDE w:val="0"/>
                    <w:autoSpaceDN w:val="0"/>
                    <w:snapToGrid w:val="0"/>
                    <w:jc w:val="center"/>
                    <w:rPr>
                      <w14:ligatures w14:val="standardContextual"/>
                    </w:rPr>
                  </w:pPr>
                  <w:r>
                    <w:rPr>
                      <w:rFonts w:hint="eastAsia"/>
                      <w14:ligatures w14:val="standardContextual"/>
                    </w:rPr>
                    <w:t>符合。</w:t>
                  </w:r>
                </w:p>
              </w:tc>
            </w:tr>
            <w:tr w14:paraId="607032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34" w:type="pct"/>
                  <w:vMerge w:val="continue"/>
                  <w:vAlign w:val="center"/>
                </w:tcPr>
                <w:p w14:paraId="600FFD37">
                  <w:pPr>
                    <w:widowControl w:val="0"/>
                    <w:overflowPunct w:val="0"/>
                    <w:autoSpaceDE w:val="0"/>
                    <w:autoSpaceDN w:val="0"/>
                    <w:snapToGrid w:val="0"/>
                    <w:jc w:val="center"/>
                    <w:rPr>
                      <w14:ligatures w14:val="standardContextual"/>
                    </w:rPr>
                  </w:pPr>
                </w:p>
              </w:tc>
              <w:tc>
                <w:tcPr>
                  <w:tcW w:w="2362" w:type="pct"/>
                  <w:vAlign w:val="center"/>
                </w:tcPr>
                <w:p w14:paraId="60721234">
                  <w:pPr>
                    <w:widowControl w:val="0"/>
                    <w:overflowPunct w:val="0"/>
                    <w:autoSpaceDE w:val="0"/>
                    <w:autoSpaceDN w:val="0"/>
                    <w:snapToGrid w:val="0"/>
                    <w:jc w:val="center"/>
                    <w:rPr>
                      <w14:ligatures w14:val="standardContextual"/>
                    </w:rPr>
                  </w:pPr>
                  <w:r>
                    <w:rPr>
                      <w14:ligatures w14:val="standardContextual"/>
                    </w:rPr>
                    <w:t>3.紧临金窝水库饮用水源保护区的园区工业用地，应当布局非大气污染型项目。</w:t>
                  </w:r>
                </w:p>
              </w:tc>
              <w:tc>
                <w:tcPr>
                  <w:tcW w:w="2104" w:type="pct"/>
                  <w:vAlign w:val="center"/>
                </w:tcPr>
                <w:p w14:paraId="40DFD646">
                  <w:pPr>
                    <w:widowControl w:val="0"/>
                    <w:overflowPunct w:val="0"/>
                    <w:autoSpaceDE w:val="0"/>
                    <w:autoSpaceDN w:val="0"/>
                    <w:snapToGrid w:val="0"/>
                    <w:jc w:val="center"/>
                    <w:rPr>
                      <w14:ligatures w14:val="standardContextual"/>
                    </w:rPr>
                  </w:pPr>
                  <w:r>
                    <w:rPr>
                      <w14:ligatures w14:val="standardContextual"/>
                    </w:rPr>
                    <w:t>本项目地块</w:t>
                  </w:r>
                  <w:r>
                    <w:rPr>
                      <w:rFonts w:hint="eastAsia"/>
                      <w14:ligatures w14:val="standardContextual"/>
                    </w:rPr>
                    <w:t>不涉及</w:t>
                  </w:r>
                  <w:r>
                    <w:rPr>
                      <w14:ligatures w14:val="standardContextual"/>
                    </w:rPr>
                    <w:t>金窝水库饮用水源保护区</w:t>
                  </w:r>
                  <w:r>
                    <w:rPr>
                      <w:rFonts w:hint="eastAsia"/>
                      <w14:ligatures w14:val="standardContextual"/>
                    </w:rPr>
                    <w:t>。</w:t>
                  </w:r>
                </w:p>
                <w:p w14:paraId="13312BF6">
                  <w:pPr>
                    <w:widowControl w:val="0"/>
                    <w:overflowPunct w:val="0"/>
                    <w:autoSpaceDE w:val="0"/>
                    <w:autoSpaceDN w:val="0"/>
                    <w:snapToGrid w:val="0"/>
                    <w:jc w:val="center"/>
                    <w:rPr>
                      <w14:ligatures w14:val="standardContextual"/>
                    </w:rPr>
                  </w:pPr>
                  <w:r>
                    <w:rPr>
                      <w:rFonts w:hint="eastAsia"/>
                      <w14:ligatures w14:val="standardContextual"/>
                    </w:rPr>
                    <w:t>符合。</w:t>
                  </w:r>
                </w:p>
              </w:tc>
            </w:tr>
            <w:tr w14:paraId="0787E0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34" w:type="pct"/>
                  <w:vMerge w:val="continue"/>
                  <w:vAlign w:val="center"/>
                </w:tcPr>
                <w:p w14:paraId="4B49FEBE">
                  <w:pPr>
                    <w:widowControl w:val="0"/>
                    <w:overflowPunct w:val="0"/>
                    <w:autoSpaceDE w:val="0"/>
                    <w:autoSpaceDN w:val="0"/>
                    <w:snapToGrid w:val="0"/>
                    <w:jc w:val="center"/>
                    <w:rPr>
                      <w14:ligatures w14:val="standardContextual"/>
                    </w:rPr>
                  </w:pPr>
                </w:p>
              </w:tc>
              <w:tc>
                <w:tcPr>
                  <w:tcW w:w="2362" w:type="pct"/>
                  <w:vAlign w:val="center"/>
                </w:tcPr>
                <w:p w14:paraId="3F3C5522">
                  <w:pPr>
                    <w:widowControl w:val="0"/>
                    <w:overflowPunct w:val="0"/>
                    <w:autoSpaceDE w:val="0"/>
                    <w:autoSpaceDN w:val="0"/>
                    <w:snapToGrid w:val="0"/>
                    <w:jc w:val="center"/>
                    <w:rPr>
                      <w14:ligatures w14:val="standardContextual"/>
                    </w:rPr>
                  </w:pPr>
                  <w:r>
                    <w:rPr>
                      <w:rFonts w:hint="eastAsia"/>
                      <w14:ligatures w14:val="standardContextual"/>
                    </w:rPr>
                    <w:t>4．园区产业准入执行《广西壮族自治区人民政府办公厅关于印发北钦防一体化产业协同发展限制布局清单（工业类2021年版）的通知》（桂政办函〔2021〕4号）要求，限制新建</w:t>
                  </w:r>
                  <w:bookmarkStart w:id="29" w:name="OLE_LINK210"/>
                  <w:r>
                    <w:rPr>
                      <w:rFonts w:hint="eastAsia"/>
                      <w14:ligatures w14:val="standardContextual"/>
                    </w:rPr>
                    <w:t>纸浆制造、原油加工及石油制品制造、水泥制造、建筑陶瓷制品制造、有色金属冶炼</w:t>
                  </w:r>
                  <w:bookmarkEnd w:id="29"/>
                  <w:r>
                    <w:rPr>
                      <w:rFonts w:hint="eastAsia"/>
                      <w14:ligatures w14:val="standardContextual"/>
                    </w:rPr>
                    <w:t>等工</w:t>
                  </w:r>
                </w:p>
                <w:p w14:paraId="70BEA5BF">
                  <w:pPr>
                    <w:widowControl w:val="0"/>
                    <w:overflowPunct w:val="0"/>
                    <w:autoSpaceDE w:val="0"/>
                    <w:autoSpaceDN w:val="0"/>
                    <w:snapToGrid w:val="0"/>
                    <w:jc w:val="center"/>
                    <w:rPr>
                      <w14:ligatures w14:val="standardContextual"/>
                    </w:rPr>
                  </w:pPr>
                  <w:r>
                    <w:rPr>
                      <w:rFonts w:hint="eastAsia"/>
                      <w14:ligatures w14:val="standardContextual"/>
                    </w:rPr>
                    <w:t>业项目。</w:t>
                  </w:r>
                </w:p>
              </w:tc>
              <w:tc>
                <w:tcPr>
                  <w:tcW w:w="2104" w:type="pct"/>
                  <w:vAlign w:val="center"/>
                </w:tcPr>
                <w:p w14:paraId="2E8A5C27">
                  <w:pPr>
                    <w:widowControl w:val="0"/>
                    <w:overflowPunct w:val="0"/>
                    <w:autoSpaceDE w:val="0"/>
                    <w:autoSpaceDN w:val="0"/>
                    <w:snapToGrid w:val="0"/>
                    <w:jc w:val="both"/>
                    <w:rPr>
                      <w14:ligatures w14:val="standardContextual"/>
                    </w:rPr>
                  </w:pPr>
                  <w:r>
                    <w:rPr>
                      <w14:ligatures w14:val="standardContextual"/>
                    </w:rPr>
                    <w:t>项目</w:t>
                  </w:r>
                  <w:r>
                    <w:rPr>
                      <w:rFonts w:hint="eastAsia"/>
                      <w14:ligatures w14:val="standardContextual"/>
                    </w:rPr>
                    <w:t>不属于纸浆制造、原油加工及石油制品制造、水泥制造、建筑陶瓷制品制造、有色金属冶炼</w:t>
                  </w:r>
                  <w:r>
                    <w:rPr>
                      <w14:ligatures w14:val="standardContextual"/>
                    </w:rPr>
                    <w:t>。</w:t>
                  </w:r>
                </w:p>
                <w:p w14:paraId="5CE991B6">
                  <w:pPr>
                    <w:widowControl w:val="0"/>
                    <w:overflowPunct w:val="0"/>
                    <w:autoSpaceDE w:val="0"/>
                    <w:autoSpaceDN w:val="0"/>
                    <w:snapToGrid w:val="0"/>
                    <w:jc w:val="both"/>
                    <w:rPr>
                      <w14:ligatures w14:val="standardContextual"/>
                    </w:rPr>
                  </w:pPr>
                  <w:r>
                    <w:rPr>
                      <w:rFonts w:hint="eastAsia"/>
                      <w14:ligatures w14:val="standardContextual"/>
                    </w:rPr>
                    <w:t>符合。</w:t>
                  </w:r>
                </w:p>
              </w:tc>
            </w:tr>
            <w:tr w14:paraId="353987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34" w:type="pct"/>
                  <w:vMerge w:val="continue"/>
                  <w:vAlign w:val="center"/>
                </w:tcPr>
                <w:p w14:paraId="473C0775">
                  <w:pPr>
                    <w:widowControl w:val="0"/>
                    <w:overflowPunct w:val="0"/>
                    <w:autoSpaceDE w:val="0"/>
                    <w:autoSpaceDN w:val="0"/>
                    <w:snapToGrid w:val="0"/>
                    <w:jc w:val="center"/>
                    <w:rPr>
                      <w14:ligatures w14:val="standardContextual"/>
                    </w:rPr>
                  </w:pPr>
                </w:p>
              </w:tc>
              <w:tc>
                <w:tcPr>
                  <w:tcW w:w="2362" w:type="pct"/>
                  <w:vAlign w:val="center"/>
                </w:tcPr>
                <w:p w14:paraId="64F6FBF4">
                  <w:pPr>
                    <w:widowControl w:val="0"/>
                    <w:overflowPunct w:val="0"/>
                    <w:autoSpaceDE w:val="0"/>
                    <w:autoSpaceDN w:val="0"/>
                    <w:snapToGrid w:val="0"/>
                    <w:jc w:val="center"/>
                    <w:rPr>
                      <w14:ligatures w14:val="standardContextual"/>
                    </w:rPr>
                  </w:pPr>
                  <w:r>
                    <w:rPr>
                      <w:rFonts w:hint="eastAsia"/>
                      <w14:ligatures w14:val="standardContextual"/>
                    </w:rPr>
                    <w:t>5．严格新建动力电池材料产业项目准入，加强项目评估论证，杜绝落后工艺、技术和产品进驻。</w:t>
                  </w:r>
                </w:p>
              </w:tc>
              <w:tc>
                <w:tcPr>
                  <w:tcW w:w="2104" w:type="pct"/>
                  <w:vAlign w:val="center"/>
                </w:tcPr>
                <w:p w14:paraId="3050B652">
                  <w:pPr>
                    <w:widowControl w:val="0"/>
                    <w:overflowPunct w:val="0"/>
                    <w:autoSpaceDE w:val="0"/>
                    <w:autoSpaceDN w:val="0"/>
                    <w:snapToGrid w:val="0"/>
                    <w:jc w:val="center"/>
                    <w:rPr>
                      <w14:ligatures w14:val="standardContextual"/>
                    </w:rPr>
                  </w:pPr>
                  <w:r>
                    <w:rPr>
                      <w:rFonts w:hint="eastAsia"/>
                      <w14:ligatures w14:val="standardContextual"/>
                    </w:rPr>
                    <w:t>项目不属于动力电池材料产业项目。</w:t>
                  </w:r>
                </w:p>
                <w:p w14:paraId="722CA16B">
                  <w:pPr>
                    <w:widowControl w:val="0"/>
                    <w:overflowPunct w:val="0"/>
                    <w:autoSpaceDE w:val="0"/>
                    <w:autoSpaceDN w:val="0"/>
                    <w:snapToGrid w:val="0"/>
                    <w:jc w:val="center"/>
                    <w:rPr>
                      <w14:ligatures w14:val="standardContextual"/>
                    </w:rPr>
                  </w:pPr>
                  <w:r>
                    <w:rPr>
                      <w:rFonts w:hint="eastAsia"/>
                      <w14:ligatures w14:val="standardContextual"/>
                    </w:rPr>
                    <w:t>符合。</w:t>
                  </w:r>
                </w:p>
              </w:tc>
            </w:tr>
            <w:tr w14:paraId="1E9FBB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34" w:type="pct"/>
                  <w:vMerge w:val="continue"/>
                  <w:vAlign w:val="center"/>
                </w:tcPr>
                <w:p w14:paraId="5853D3B3">
                  <w:pPr>
                    <w:widowControl w:val="0"/>
                    <w:overflowPunct w:val="0"/>
                    <w:autoSpaceDE w:val="0"/>
                    <w:autoSpaceDN w:val="0"/>
                    <w:snapToGrid w:val="0"/>
                    <w:jc w:val="center"/>
                    <w:rPr>
                      <w14:ligatures w14:val="standardContextual"/>
                    </w:rPr>
                  </w:pPr>
                </w:p>
              </w:tc>
              <w:tc>
                <w:tcPr>
                  <w:tcW w:w="2362" w:type="pct"/>
                  <w:vAlign w:val="center"/>
                </w:tcPr>
                <w:p w14:paraId="22ED5990">
                  <w:pPr>
                    <w:widowControl w:val="0"/>
                    <w:overflowPunct w:val="0"/>
                    <w:autoSpaceDE w:val="0"/>
                    <w:autoSpaceDN w:val="0"/>
                    <w:snapToGrid w:val="0"/>
                    <w:jc w:val="center"/>
                    <w:rPr>
                      <w14:ligatures w14:val="standardContextual"/>
                    </w:rPr>
                  </w:pPr>
                  <w:r>
                    <w:rPr>
                      <w:rFonts w:hint="eastAsia"/>
                      <w14:ligatures w14:val="standardContextual"/>
                    </w:rPr>
                    <w:t>6．园区周边1 公里范围内临近金窝水库饮用水水源保护区生态环境敏感区域，应优化产业布局，控制开发强度，新建、改建、扩建项目要采取切实可行的环保措施，降低对周边生态环境敏感区域的影响。</w:t>
                  </w:r>
                </w:p>
              </w:tc>
              <w:tc>
                <w:tcPr>
                  <w:tcW w:w="2104" w:type="pct"/>
                  <w:vAlign w:val="center"/>
                </w:tcPr>
                <w:p w14:paraId="0A79981A">
                  <w:pPr>
                    <w:widowControl w:val="0"/>
                    <w:overflowPunct w:val="0"/>
                    <w:autoSpaceDE w:val="0"/>
                    <w:autoSpaceDN w:val="0"/>
                    <w:snapToGrid w:val="0"/>
                    <w:jc w:val="center"/>
                    <w:rPr>
                      <w14:ligatures w14:val="standardContextual"/>
                    </w:rPr>
                  </w:pPr>
                  <w:r>
                    <w:rPr>
                      <w:rFonts w:hint="eastAsia"/>
                      <w14:ligatures w14:val="standardContextual"/>
                    </w:rPr>
                    <w:t>本项目建成后可实现园区集中供热，有利于降低</w:t>
                  </w:r>
                  <w:r>
                    <w:rPr>
                      <w:rFonts w:hint="eastAsia"/>
                      <w:lang w:eastAsia="zh-CN"/>
                      <w14:ligatures w14:val="standardContextual"/>
                    </w:rPr>
                    <w:t>对</w:t>
                  </w:r>
                  <w:r>
                    <w:rPr>
                      <w:rFonts w:hint="eastAsia"/>
                      <w14:ligatures w14:val="standardContextual"/>
                    </w:rPr>
                    <w:t>周边生态环境敏感区域的影响。</w:t>
                  </w:r>
                </w:p>
                <w:p w14:paraId="0691B37F">
                  <w:pPr>
                    <w:widowControl w:val="0"/>
                    <w:overflowPunct w:val="0"/>
                    <w:autoSpaceDE w:val="0"/>
                    <w:autoSpaceDN w:val="0"/>
                    <w:snapToGrid w:val="0"/>
                    <w:jc w:val="center"/>
                    <w:rPr>
                      <w14:ligatures w14:val="standardContextual"/>
                    </w:rPr>
                  </w:pPr>
                  <w:r>
                    <w:rPr>
                      <w:rFonts w:hint="eastAsia"/>
                      <w14:ligatures w14:val="standardContextual"/>
                    </w:rPr>
                    <w:t>符合。</w:t>
                  </w:r>
                </w:p>
              </w:tc>
            </w:tr>
            <w:tr w14:paraId="44DE7A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34" w:type="pct"/>
                  <w:vMerge w:val="restart"/>
                  <w:vAlign w:val="center"/>
                </w:tcPr>
                <w:p w14:paraId="4108F74A">
                  <w:pPr>
                    <w:widowControl w:val="0"/>
                    <w:overflowPunct w:val="0"/>
                    <w:autoSpaceDE w:val="0"/>
                    <w:autoSpaceDN w:val="0"/>
                    <w:snapToGrid w:val="0"/>
                    <w:jc w:val="center"/>
                    <w:rPr>
                      <w14:ligatures w14:val="standardContextual"/>
                    </w:rPr>
                  </w:pPr>
                  <w:r>
                    <w:rPr>
                      <w14:ligatures w14:val="standardContextual"/>
                    </w:rPr>
                    <w:t>污染物排放管控</w:t>
                  </w:r>
                </w:p>
              </w:tc>
              <w:tc>
                <w:tcPr>
                  <w:tcW w:w="2362" w:type="pct"/>
                  <w:vAlign w:val="center"/>
                </w:tcPr>
                <w:p w14:paraId="1003AB47">
                  <w:pPr>
                    <w:widowControl w:val="0"/>
                    <w:overflowPunct w:val="0"/>
                    <w:autoSpaceDE w:val="0"/>
                    <w:autoSpaceDN w:val="0"/>
                    <w:snapToGrid w:val="0"/>
                    <w:jc w:val="center"/>
                    <w:rPr>
                      <w14:ligatures w14:val="standardContextual"/>
                    </w:rPr>
                  </w:pPr>
                  <w:r>
                    <w:rPr>
                      <w:rFonts w:hint="eastAsia"/>
                      <w14:ligatures w14:val="standardContextual"/>
                    </w:rPr>
                    <w:t>1．继续加强工业园区</w:t>
                  </w:r>
                  <w:bookmarkStart w:id="30" w:name="OLE_LINK213"/>
                  <w:r>
                    <w:rPr>
                      <w:rFonts w:hint="eastAsia"/>
                      <w14:ligatures w14:val="standardContextual"/>
                    </w:rPr>
                    <w:t>污水集中处理设施和配套管网</w:t>
                  </w:r>
                  <w:bookmarkEnd w:id="30"/>
                  <w:r>
                    <w:rPr>
                      <w:rFonts w:hint="eastAsia"/>
                      <w14:ligatures w14:val="standardContextual"/>
                    </w:rPr>
                    <w:t>建设。实行“</w:t>
                  </w:r>
                  <w:bookmarkStart w:id="31" w:name="OLE_LINK211"/>
                  <w:r>
                    <w:rPr>
                      <w:rFonts w:hint="eastAsia"/>
                      <w14:ligatures w14:val="standardContextual"/>
                    </w:rPr>
                    <w:t>清污分流</w:t>
                  </w:r>
                  <w:bookmarkEnd w:id="31"/>
                  <w:r>
                    <w:rPr>
                      <w:rFonts w:hint="eastAsia"/>
                      <w14:ligatures w14:val="standardContextual"/>
                    </w:rPr>
                    <w:t>、</w:t>
                  </w:r>
                  <w:bookmarkStart w:id="32" w:name="OLE_LINK212"/>
                  <w:r>
                    <w:rPr>
                      <w:rFonts w:hint="eastAsia"/>
                      <w14:ligatures w14:val="standardContextual"/>
                    </w:rPr>
                    <w:t>雨污分流</w:t>
                  </w:r>
                  <w:bookmarkEnd w:id="32"/>
                  <w:r>
                    <w:rPr>
                      <w:rFonts w:hint="eastAsia"/>
                      <w14:ligatures w14:val="standardContextual"/>
                    </w:rPr>
                    <w:t>”，实现废水分类收集、分质处理，入园企业应在达到国家或地方规定的排放标准后接入集中式污水处理设施处理，园区集中式污水处理设施总排口应安装自动监控系统、视频监控系统，并与生态环境主管部门联网。</w:t>
                  </w:r>
                </w:p>
              </w:tc>
              <w:tc>
                <w:tcPr>
                  <w:tcW w:w="2104" w:type="pct"/>
                  <w:vAlign w:val="center"/>
                </w:tcPr>
                <w:p w14:paraId="43AA1DD7">
                  <w:pPr>
                    <w:widowControl w:val="0"/>
                    <w:overflowPunct w:val="0"/>
                    <w:autoSpaceDE w:val="0"/>
                    <w:autoSpaceDN w:val="0"/>
                    <w:snapToGrid w:val="0"/>
                    <w:jc w:val="center"/>
                    <w:rPr>
                      <w14:ligatures w14:val="standardContextual"/>
                    </w:rPr>
                  </w:pPr>
                  <w:bookmarkStart w:id="33" w:name="OLE_LINK174"/>
                  <w:r>
                    <w:rPr>
                      <w:rFonts w:hint="eastAsia"/>
                      <w14:ligatures w14:val="standardContextual"/>
                    </w:rPr>
                    <w:t>本项目排水为雨污分流，园区设有雨污水管道。不涉及污水集中处理设施和配套管网。</w:t>
                  </w:r>
                  <w:bookmarkEnd w:id="33"/>
                </w:p>
                <w:p w14:paraId="77CE6AA7">
                  <w:pPr>
                    <w:widowControl w:val="0"/>
                    <w:overflowPunct w:val="0"/>
                    <w:autoSpaceDE w:val="0"/>
                    <w:autoSpaceDN w:val="0"/>
                    <w:snapToGrid w:val="0"/>
                    <w:jc w:val="center"/>
                    <w:rPr>
                      <w14:ligatures w14:val="standardContextual"/>
                    </w:rPr>
                  </w:pPr>
                  <w:r>
                    <w:rPr>
                      <w:rFonts w:hint="eastAsia"/>
                      <w14:ligatures w14:val="standardContextual"/>
                    </w:rPr>
                    <w:t>符合。</w:t>
                  </w:r>
                </w:p>
              </w:tc>
            </w:tr>
            <w:tr w14:paraId="7BA1EC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34" w:type="pct"/>
                  <w:vMerge w:val="continue"/>
                  <w:vAlign w:val="center"/>
                </w:tcPr>
                <w:p w14:paraId="26193D13">
                  <w:pPr>
                    <w:widowControl w:val="0"/>
                    <w:overflowPunct w:val="0"/>
                    <w:autoSpaceDE w:val="0"/>
                    <w:autoSpaceDN w:val="0"/>
                    <w:snapToGrid w:val="0"/>
                    <w:jc w:val="center"/>
                    <w:rPr>
                      <w14:ligatures w14:val="standardContextual"/>
                    </w:rPr>
                  </w:pPr>
                </w:p>
              </w:tc>
              <w:tc>
                <w:tcPr>
                  <w:tcW w:w="2362" w:type="pct"/>
                  <w:vAlign w:val="center"/>
                </w:tcPr>
                <w:p w14:paraId="3148C364">
                  <w:pPr>
                    <w:widowControl w:val="0"/>
                    <w:overflowPunct w:val="0"/>
                    <w:autoSpaceDE w:val="0"/>
                    <w:autoSpaceDN w:val="0"/>
                    <w:snapToGrid w:val="0"/>
                    <w:jc w:val="center"/>
                    <w:rPr>
                      <w14:ligatures w14:val="standardContextual"/>
                    </w:rPr>
                  </w:pPr>
                  <w:r>
                    <w:rPr>
                      <w14:ligatures w14:val="standardContextual"/>
                    </w:rPr>
                    <w:t>2.推行清洁能源和集中供热。</w:t>
                  </w:r>
                </w:p>
              </w:tc>
              <w:tc>
                <w:tcPr>
                  <w:tcW w:w="2104" w:type="pct"/>
                  <w:vAlign w:val="center"/>
                </w:tcPr>
                <w:p w14:paraId="6995FB05">
                  <w:pPr>
                    <w:widowControl w:val="0"/>
                    <w:overflowPunct w:val="0"/>
                    <w:autoSpaceDE w:val="0"/>
                    <w:autoSpaceDN w:val="0"/>
                    <w:snapToGrid w:val="0"/>
                    <w:jc w:val="center"/>
                    <w:rPr>
                      <w14:ligatures w14:val="standardContextual"/>
                    </w:rPr>
                  </w:pPr>
                  <w:r>
                    <w:rPr>
                      <w14:ligatures w14:val="standardContextual"/>
                    </w:rPr>
                    <w:t>项目使用的能源为</w:t>
                  </w:r>
                  <w:bookmarkStart w:id="34" w:name="OLE_LINK160"/>
                  <w:r>
                    <w:rPr>
                      <w:rFonts w:hint="eastAsia"/>
                      <w14:ligatures w14:val="standardContextual"/>
                    </w:rPr>
                    <w:t>生物质成型颗粒</w:t>
                  </w:r>
                  <w:bookmarkEnd w:id="34"/>
                  <w:r>
                    <w:rPr>
                      <w14:ligatures w14:val="standardContextual"/>
                    </w:rPr>
                    <w:t>，</w:t>
                  </w:r>
                  <w:r>
                    <w:rPr>
                      <w:rFonts w:hint="eastAsia"/>
                      <w14:ligatures w14:val="standardContextual"/>
                    </w:rPr>
                    <w:t>项目建成后</w:t>
                  </w:r>
                  <w:bookmarkStart w:id="35" w:name="OLE_LINK163"/>
                  <w:r>
                    <w:rPr>
                      <w:rFonts w:hint="eastAsia"/>
                      <w14:ligatures w14:val="standardContextual"/>
                    </w:rPr>
                    <w:t>可实现园区内集中供热</w:t>
                  </w:r>
                  <w:bookmarkEnd w:id="35"/>
                  <w:r>
                    <w:rPr>
                      <w14:ligatures w14:val="standardContextual"/>
                    </w:rPr>
                    <w:t>。</w:t>
                  </w:r>
                </w:p>
                <w:p w14:paraId="4F7CA3BA">
                  <w:pPr>
                    <w:widowControl w:val="0"/>
                    <w:overflowPunct w:val="0"/>
                    <w:autoSpaceDE w:val="0"/>
                    <w:autoSpaceDN w:val="0"/>
                    <w:snapToGrid w:val="0"/>
                    <w:jc w:val="center"/>
                    <w:rPr>
                      <w14:ligatures w14:val="standardContextual"/>
                    </w:rPr>
                  </w:pPr>
                  <w:r>
                    <w:rPr>
                      <w:rFonts w:hint="eastAsia"/>
                      <w14:ligatures w14:val="standardContextual"/>
                    </w:rPr>
                    <w:t>符合。</w:t>
                  </w:r>
                </w:p>
              </w:tc>
            </w:tr>
            <w:tr w14:paraId="6D1F55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34" w:type="pct"/>
                  <w:vMerge w:val="continue"/>
                  <w:vAlign w:val="center"/>
                </w:tcPr>
                <w:p w14:paraId="0DFE246A">
                  <w:pPr>
                    <w:widowControl w:val="0"/>
                    <w:overflowPunct w:val="0"/>
                    <w:autoSpaceDE w:val="0"/>
                    <w:autoSpaceDN w:val="0"/>
                    <w:snapToGrid w:val="0"/>
                    <w:jc w:val="center"/>
                    <w:rPr>
                      <w14:ligatures w14:val="standardContextual"/>
                    </w:rPr>
                  </w:pPr>
                </w:p>
              </w:tc>
              <w:tc>
                <w:tcPr>
                  <w:tcW w:w="2362" w:type="pct"/>
                  <w:vAlign w:val="center"/>
                </w:tcPr>
                <w:p w14:paraId="69C7BBF7">
                  <w:pPr>
                    <w:widowControl w:val="0"/>
                    <w:overflowPunct w:val="0"/>
                    <w:autoSpaceDE w:val="0"/>
                    <w:autoSpaceDN w:val="0"/>
                    <w:snapToGrid w:val="0"/>
                    <w:jc w:val="center"/>
                    <w:rPr>
                      <w14:ligatures w14:val="standardContextual"/>
                    </w:rPr>
                  </w:pPr>
                  <w:r>
                    <w:rPr>
                      <w14:ligatures w14:val="standardContextual"/>
                    </w:rPr>
                    <w:t>3.有条件的工业聚集区建设集中喷涂工程中心，配备高效治污设施，替代企业独立喷涂工序。推动重点行业挥发性有机物（VOCs）污染防治，强化企业精细化管控、无组织废气排放控制以及高效治污设施建设，严格控制挥发性有机污染物排放。强化大气污染治理措施，降低二氧化硫、氮氧化物排放。</w:t>
                  </w:r>
                </w:p>
              </w:tc>
              <w:tc>
                <w:tcPr>
                  <w:tcW w:w="2104" w:type="pct"/>
                  <w:vAlign w:val="center"/>
                </w:tcPr>
                <w:p w14:paraId="4BB44FB2">
                  <w:pPr>
                    <w:widowControl w:val="0"/>
                    <w:overflowPunct w:val="0"/>
                    <w:autoSpaceDE w:val="0"/>
                    <w:autoSpaceDN w:val="0"/>
                    <w:snapToGrid w:val="0"/>
                    <w:jc w:val="center"/>
                    <w:rPr>
                      <w14:ligatures w14:val="standardContextual"/>
                    </w:rPr>
                  </w:pPr>
                  <w:r>
                    <w:rPr>
                      <w14:ligatures w14:val="standardContextual"/>
                    </w:rPr>
                    <w:t>本项目不涉及</w:t>
                  </w:r>
                  <w:r>
                    <w:rPr>
                      <w:rFonts w:hint="eastAsia"/>
                      <w14:ligatures w14:val="standardContextual"/>
                    </w:rPr>
                    <w:t>。</w:t>
                  </w:r>
                </w:p>
                <w:p w14:paraId="2E82DB2F">
                  <w:pPr>
                    <w:widowControl w:val="0"/>
                    <w:overflowPunct w:val="0"/>
                    <w:autoSpaceDE w:val="0"/>
                    <w:autoSpaceDN w:val="0"/>
                    <w:snapToGrid w:val="0"/>
                    <w:jc w:val="center"/>
                    <w:rPr>
                      <w14:ligatures w14:val="standardContextual"/>
                    </w:rPr>
                  </w:pPr>
                  <w:r>
                    <w:rPr>
                      <w:rFonts w:hint="eastAsia"/>
                      <w14:ligatures w14:val="standardContextual"/>
                    </w:rPr>
                    <w:t>符合。</w:t>
                  </w:r>
                </w:p>
              </w:tc>
            </w:tr>
            <w:tr w14:paraId="3DCF86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34" w:type="pct"/>
                  <w:vMerge w:val="continue"/>
                  <w:vAlign w:val="center"/>
                </w:tcPr>
                <w:p w14:paraId="661F9E2F">
                  <w:pPr>
                    <w:widowControl w:val="0"/>
                    <w:overflowPunct w:val="0"/>
                    <w:autoSpaceDE w:val="0"/>
                    <w:autoSpaceDN w:val="0"/>
                    <w:snapToGrid w:val="0"/>
                    <w:jc w:val="center"/>
                    <w:rPr>
                      <w14:ligatures w14:val="standardContextual"/>
                    </w:rPr>
                  </w:pPr>
                </w:p>
              </w:tc>
              <w:tc>
                <w:tcPr>
                  <w:tcW w:w="2362" w:type="pct"/>
                  <w:vAlign w:val="center"/>
                </w:tcPr>
                <w:p w14:paraId="660461FD">
                  <w:pPr>
                    <w:widowControl w:val="0"/>
                    <w:overflowPunct w:val="0"/>
                    <w:autoSpaceDE w:val="0"/>
                    <w:autoSpaceDN w:val="0"/>
                    <w:snapToGrid w:val="0"/>
                    <w:jc w:val="center"/>
                    <w:rPr>
                      <w14:ligatures w14:val="standardContextual"/>
                    </w:rPr>
                  </w:pPr>
                  <w:r>
                    <w:rPr>
                      <w:rFonts w:hint="eastAsia"/>
                      <w14:ligatures w14:val="standardContextual"/>
                    </w:rPr>
                    <w:t>4．强化固体废物减量化、资源化和无害化控制原则处置；加强</w:t>
                  </w:r>
                  <w:bookmarkStart w:id="36" w:name="OLE_LINK214"/>
                  <w:r>
                    <w:rPr>
                      <w:rFonts w:hint="eastAsia"/>
                      <w14:ligatures w14:val="standardContextual"/>
                    </w:rPr>
                    <w:t>硫酸镍、硫酸钴、碳酸锂和氢氧化锂</w:t>
                  </w:r>
                  <w:bookmarkEnd w:id="36"/>
                  <w:r>
                    <w:rPr>
                      <w:rFonts w:hint="eastAsia"/>
                      <w14:ligatures w14:val="standardContextual"/>
                    </w:rPr>
                    <w:t>等生产过程产生的固体废弃物进行回收和精细化分级分类综合利用。</w:t>
                  </w:r>
                </w:p>
              </w:tc>
              <w:tc>
                <w:tcPr>
                  <w:tcW w:w="2104" w:type="pct"/>
                  <w:vAlign w:val="center"/>
                </w:tcPr>
                <w:p w14:paraId="2E1760F8">
                  <w:pPr>
                    <w:widowControl w:val="0"/>
                    <w:overflowPunct w:val="0"/>
                    <w:autoSpaceDE w:val="0"/>
                    <w:autoSpaceDN w:val="0"/>
                    <w:snapToGrid w:val="0"/>
                    <w:jc w:val="center"/>
                    <w:rPr>
                      <w14:ligatures w14:val="standardContextual"/>
                    </w:rPr>
                  </w:pPr>
                  <w:r>
                    <w:rPr>
                      <w:rFonts w:hint="eastAsia"/>
                      <w14:ligatures w14:val="standardContextual"/>
                    </w:rPr>
                    <w:t>本项目固体废物全部外售综合利用，不涉及硫酸镍、硫酸钴、碳酸锂和氢氧化锂等生产过程。</w:t>
                  </w:r>
                </w:p>
                <w:p w14:paraId="51301CD9">
                  <w:pPr>
                    <w:widowControl w:val="0"/>
                    <w:overflowPunct w:val="0"/>
                    <w:autoSpaceDE w:val="0"/>
                    <w:autoSpaceDN w:val="0"/>
                    <w:snapToGrid w:val="0"/>
                    <w:jc w:val="center"/>
                    <w:rPr>
                      <w14:ligatures w14:val="standardContextual"/>
                    </w:rPr>
                  </w:pPr>
                  <w:r>
                    <w:rPr>
                      <w:rFonts w:hint="eastAsia"/>
                      <w14:ligatures w14:val="standardContextual"/>
                    </w:rPr>
                    <w:t>符合。</w:t>
                  </w:r>
                </w:p>
              </w:tc>
            </w:tr>
            <w:tr w14:paraId="4A1CC8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34" w:type="pct"/>
                  <w:vMerge w:val="continue"/>
                  <w:vAlign w:val="center"/>
                </w:tcPr>
                <w:p w14:paraId="3EC0DAE1">
                  <w:pPr>
                    <w:widowControl w:val="0"/>
                    <w:overflowPunct w:val="0"/>
                    <w:autoSpaceDE w:val="0"/>
                    <w:autoSpaceDN w:val="0"/>
                    <w:snapToGrid w:val="0"/>
                    <w:jc w:val="center"/>
                    <w:rPr>
                      <w14:ligatures w14:val="standardContextual"/>
                    </w:rPr>
                  </w:pPr>
                </w:p>
              </w:tc>
              <w:tc>
                <w:tcPr>
                  <w:tcW w:w="2362" w:type="pct"/>
                  <w:vAlign w:val="center"/>
                </w:tcPr>
                <w:p w14:paraId="0799B558">
                  <w:pPr>
                    <w:widowControl w:val="0"/>
                    <w:overflowPunct w:val="0"/>
                    <w:autoSpaceDE w:val="0"/>
                    <w:autoSpaceDN w:val="0"/>
                    <w:snapToGrid w:val="0"/>
                    <w:jc w:val="center"/>
                    <w:rPr>
                      <w14:ligatures w14:val="standardContextual"/>
                    </w:rPr>
                  </w:pPr>
                  <w:r>
                    <w:rPr>
                      <w:rFonts w:hint="eastAsia"/>
                      <w14:ligatures w14:val="standardContextual"/>
                    </w:rPr>
                    <w:t>5．推动新能源锂电池及材料存量项目实施能效提升、清洁生产、节水治污、循环利用等专项技术改造。</w:t>
                  </w:r>
                </w:p>
              </w:tc>
              <w:tc>
                <w:tcPr>
                  <w:tcW w:w="2104" w:type="pct"/>
                  <w:vAlign w:val="center"/>
                </w:tcPr>
                <w:p w14:paraId="20E8102B">
                  <w:pPr>
                    <w:widowControl w:val="0"/>
                    <w:overflowPunct w:val="0"/>
                    <w:autoSpaceDE w:val="0"/>
                    <w:autoSpaceDN w:val="0"/>
                    <w:snapToGrid w:val="0"/>
                    <w:jc w:val="center"/>
                    <w:rPr>
                      <w14:ligatures w14:val="standardContextual"/>
                    </w:rPr>
                  </w:pPr>
                  <w:r>
                    <w:rPr>
                      <w14:ligatures w14:val="standardContextual"/>
                    </w:rPr>
                    <w:t>本项目不涉及</w:t>
                  </w:r>
                  <w:r>
                    <w:rPr>
                      <w:rFonts w:hint="eastAsia"/>
                      <w14:ligatures w14:val="standardContextual"/>
                    </w:rPr>
                    <w:t>新能源锂电池及材料项目。</w:t>
                  </w:r>
                </w:p>
                <w:p w14:paraId="2ECEAF03">
                  <w:pPr>
                    <w:widowControl w:val="0"/>
                    <w:overflowPunct w:val="0"/>
                    <w:autoSpaceDE w:val="0"/>
                    <w:autoSpaceDN w:val="0"/>
                    <w:snapToGrid w:val="0"/>
                    <w:jc w:val="center"/>
                    <w:rPr>
                      <w14:ligatures w14:val="standardContextual"/>
                    </w:rPr>
                  </w:pPr>
                  <w:r>
                    <w:rPr>
                      <w:rFonts w:hint="eastAsia"/>
                      <w14:ligatures w14:val="standardContextual"/>
                    </w:rPr>
                    <w:t>符合。</w:t>
                  </w:r>
                </w:p>
              </w:tc>
            </w:tr>
            <w:tr w14:paraId="26DCBF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34" w:type="pct"/>
                  <w:vMerge w:val="continue"/>
                  <w:vAlign w:val="center"/>
                </w:tcPr>
                <w:p w14:paraId="7BC34337">
                  <w:pPr>
                    <w:widowControl w:val="0"/>
                    <w:overflowPunct w:val="0"/>
                    <w:autoSpaceDE w:val="0"/>
                    <w:autoSpaceDN w:val="0"/>
                    <w:snapToGrid w:val="0"/>
                    <w:jc w:val="center"/>
                    <w:rPr>
                      <w14:ligatures w14:val="standardContextual"/>
                    </w:rPr>
                  </w:pPr>
                </w:p>
              </w:tc>
              <w:tc>
                <w:tcPr>
                  <w:tcW w:w="2362" w:type="pct"/>
                  <w:vAlign w:val="center"/>
                </w:tcPr>
                <w:p w14:paraId="0CF6A1C6">
                  <w:pPr>
                    <w:widowControl w:val="0"/>
                    <w:overflowPunct w:val="0"/>
                    <w:autoSpaceDE w:val="0"/>
                    <w:autoSpaceDN w:val="0"/>
                    <w:snapToGrid w:val="0"/>
                    <w:jc w:val="center"/>
                    <w:rPr>
                      <w14:ligatures w14:val="standardContextual"/>
                    </w:rPr>
                  </w:pPr>
                  <w:r>
                    <w:rPr>
                      <w:rFonts w:hint="eastAsia"/>
                      <w14:ligatures w14:val="standardContextual"/>
                    </w:rPr>
                    <w:t>6．新建、改建、扩建排放高含盐废水的项目应采用先进适用的工艺技术和脱盐设施，进行脱盐处理，降低外排废水含盐浓度，严格控制高含盐废水未经处理或未有效处理直接排入外环境。</w:t>
                  </w:r>
                </w:p>
              </w:tc>
              <w:tc>
                <w:tcPr>
                  <w:tcW w:w="2104" w:type="pct"/>
                  <w:vAlign w:val="center"/>
                </w:tcPr>
                <w:p w14:paraId="56CB472A">
                  <w:pPr>
                    <w:widowControl w:val="0"/>
                    <w:overflowPunct w:val="0"/>
                    <w:autoSpaceDE w:val="0"/>
                    <w:autoSpaceDN w:val="0"/>
                    <w:snapToGrid w:val="0"/>
                    <w:jc w:val="center"/>
                    <w:rPr>
                      <w14:ligatures w14:val="standardContextual"/>
                    </w:rPr>
                  </w:pPr>
                  <w:r>
                    <w:rPr>
                      <w:rFonts w:hint="eastAsia"/>
                      <w14:ligatures w14:val="standardContextual"/>
                    </w:rPr>
                    <w:t>本项目不涉及高含盐废水。</w:t>
                  </w:r>
                </w:p>
                <w:p w14:paraId="6CA8E818">
                  <w:pPr>
                    <w:widowControl w:val="0"/>
                    <w:overflowPunct w:val="0"/>
                    <w:autoSpaceDE w:val="0"/>
                    <w:autoSpaceDN w:val="0"/>
                    <w:snapToGrid w:val="0"/>
                    <w:jc w:val="center"/>
                    <w:rPr>
                      <w14:ligatures w14:val="standardContextual"/>
                    </w:rPr>
                  </w:pPr>
                  <w:r>
                    <w:rPr>
                      <w:rFonts w:hint="eastAsia"/>
                      <w14:ligatures w14:val="standardContextual"/>
                    </w:rPr>
                    <w:t>符合。</w:t>
                  </w:r>
                </w:p>
              </w:tc>
            </w:tr>
            <w:tr w14:paraId="623875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34" w:type="pct"/>
                  <w:vMerge w:val="restart"/>
                  <w:vAlign w:val="center"/>
                </w:tcPr>
                <w:p w14:paraId="538EB8FB">
                  <w:pPr>
                    <w:widowControl w:val="0"/>
                    <w:overflowPunct w:val="0"/>
                    <w:autoSpaceDE w:val="0"/>
                    <w:autoSpaceDN w:val="0"/>
                    <w:snapToGrid w:val="0"/>
                    <w:jc w:val="center"/>
                    <w:rPr>
                      <w14:ligatures w14:val="standardContextual"/>
                    </w:rPr>
                  </w:pPr>
                  <w:r>
                    <w:rPr>
                      <w:rFonts w:hint="eastAsia"/>
                      <w14:ligatures w14:val="standardContextual"/>
                    </w:rPr>
                    <w:t>环境风险防控</w:t>
                  </w:r>
                </w:p>
              </w:tc>
              <w:tc>
                <w:tcPr>
                  <w:tcW w:w="2362" w:type="pct"/>
                  <w:vAlign w:val="center"/>
                </w:tcPr>
                <w:p w14:paraId="255B56E4">
                  <w:pPr>
                    <w:widowControl w:val="0"/>
                    <w:overflowPunct w:val="0"/>
                    <w:autoSpaceDE w:val="0"/>
                    <w:autoSpaceDN w:val="0"/>
                    <w:snapToGrid w:val="0"/>
                    <w:jc w:val="center"/>
                    <w:rPr>
                      <w14:ligatures w14:val="standardContextual"/>
                    </w:rPr>
                  </w:pPr>
                  <w:r>
                    <w:rPr>
                      <w:rFonts w:hint="eastAsia"/>
                      <w14:ligatures w14:val="standardContextual"/>
                    </w:rPr>
                    <w:t>1．开展环境风险评估，制定</w:t>
                  </w:r>
                  <w:bookmarkStart w:id="37" w:name="OLE_LINK215"/>
                  <w:r>
                    <w:rPr>
                      <w:rFonts w:hint="eastAsia"/>
                      <w14:ligatures w14:val="standardContextual"/>
                    </w:rPr>
                    <w:t>突发环境事件应急预案并备案</w:t>
                  </w:r>
                  <w:bookmarkEnd w:id="37"/>
                  <w:r>
                    <w:rPr>
                      <w:rFonts w:hint="eastAsia"/>
                      <w14:ligatures w14:val="standardContextual"/>
                    </w:rPr>
                    <w:t>，配备应急能力和物资，建设环境应急队伍，并定期演练。企业、园区与地方人民政府环境应急预案应当有机衔接。</w:t>
                  </w:r>
                </w:p>
              </w:tc>
              <w:tc>
                <w:tcPr>
                  <w:tcW w:w="2104" w:type="pct"/>
                  <w:vAlign w:val="center"/>
                </w:tcPr>
                <w:p w14:paraId="23243442">
                  <w:pPr>
                    <w:widowControl w:val="0"/>
                    <w:overflowPunct w:val="0"/>
                    <w:autoSpaceDE w:val="0"/>
                    <w:autoSpaceDN w:val="0"/>
                    <w:snapToGrid w:val="0"/>
                    <w:jc w:val="center"/>
                    <w:rPr>
                      <w14:ligatures w14:val="standardContextual"/>
                    </w:rPr>
                  </w:pPr>
                  <w:r>
                    <w:rPr>
                      <w:rFonts w:hint="eastAsia"/>
                      <w14:ligatures w14:val="standardContextual"/>
                    </w:rPr>
                    <w:t>项目制定突发环境事件应急预案并备案。</w:t>
                  </w:r>
                </w:p>
                <w:p w14:paraId="3C213D46">
                  <w:pPr>
                    <w:widowControl w:val="0"/>
                    <w:overflowPunct w:val="0"/>
                    <w:autoSpaceDE w:val="0"/>
                    <w:autoSpaceDN w:val="0"/>
                    <w:snapToGrid w:val="0"/>
                    <w:jc w:val="center"/>
                    <w:rPr>
                      <w14:ligatures w14:val="standardContextual"/>
                    </w:rPr>
                  </w:pPr>
                  <w:r>
                    <w:rPr>
                      <w:rFonts w:hint="eastAsia"/>
                      <w14:ligatures w14:val="standardContextual"/>
                    </w:rPr>
                    <w:t>符合。</w:t>
                  </w:r>
                </w:p>
              </w:tc>
            </w:tr>
            <w:tr w14:paraId="4A7B1A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34" w:type="pct"/>
                  <w:vMerge w:val="continue"/>
                  <w:vAlign w:val="center"/>
                </w:tcPr>
                <w:p w14:paraId="2B3BF4A5">
                  <w:pPr>
                    <w:widowControl w:val="0"/>
                    <w:overflowPunct w:val="0"/>
                    <w:autoSpaceDE w:val="0"/>
                    <w:autoSpaceDN w:val="0"/>
                    <w:snapToGrid w:val="0"/>
                    <w:jc w:val="center"/>
                    <w:rPr>
                      <w14:ligatures w14:val="standardContextual"/>
                    </w:rPr>
                  </w:pPr>
                </w:p>
              </w:tc>
              <w:tc>
                <w:tcPr>
                  <w:tcW w:w="2362" w:type="pct"/>
                  <w:vAlign w:val="center"/>
                </w:tcPr>
                <w:p w14:paraId="36251876">
                  <w:pPr>
                    <w:widowControl w:val="0"/>
                    <w:overflowPunct w:val="0"/>
                    <w:autoSpaceDE w:val="0"/>
                    <w:autoSpaceDN w:val="0"/>
                    <w:snapToGrid w:val="0"/>
                    <w:jc w:val="center"/>
                    <w:rPr>
                      <w14:ligatures w14:val="standardContextual"/>
                    </w:rPr>
                  </w:pPr>
                  <w:r>
                    <w:rPr>
                      <w:rFonts w:hint="eastAsia"/>
                      <w14:ligatures w14:val="standardContextual"/>
                    </w:rPr>
                    <w:t>2．建设项目应严格落实</w:t>
                  </w:r>
                  <w:bookmarkStart w:id="38" w:name="OLE_LINK216"/>
                  <w:r>
                    <w:rPr>
                      <w:rFonts w:hint="eastAsia"/>
                      <w14:ligatures w14:val="standardContextual"/>
                    </w:rPr>
                    <w:t>环境保护措施和环境风险防范措施</w:t>
                  </w:r>
                  <w:bookmarkEnd w:id="38"/>
                  <w:r>
                    <w:rPr>
                      <w:rFonts w:hint="eastAsia"/>
                      <w14:ligatures w14:val="standardContextual"/>
                    </w:rPr>
                    <w:t>，防范对金窝水库饮用水水源保护区的环境风险。</w:t>
                  </w:r>
                </w:p>
              </w:tc>
              <w:tc>
                <w:tcPr>
                  <w:tcW w:w="2104" w:type="pct"/>
                  <w:vAlign w:val="center"/>
                </w:tcPr>
                <w:p w14:paraId="0CF9C0EE">
                  <w:pPr>
                    <w:widowControl w:val="0"/>
                    <w:overflowPunct w:val="0"/>
                    <w:autoSpaceDE w:val="0"/>
                    <w:autoSpaceDN w:val="0"/>
                    <w:snapToGrid w:val="0"/>
                    <w:jc w:val="center"/>
                    <w:rPr>
                      <w14:ligatures w14:val="standardContextual"/>
                    </w:rPr>
                  </w:pPr>
                  <w:r>
                    <w:rPr>
                      <w:rFonts w:hint="eastAsia"/>
                      <w14:ligatures w14:val="standardContextual"/>
                    </w:rPr>
                    <w:t>项目严格落实本次环评提出的环境保护措施和环境风险防范措施，防范对金窝水库饮用水水源保护区的环境风险。</w:t>
                  </w:r>
                </w:p>
                <w:p w14:paraId="48283B63">
                  <w:pPr>
                    <w:widowControl w:val="0"/>
                    <w:overflowPunct w:val="0"/>
                    <w:autoSpaceDE w:val="0"/>
                    <w:autoSpaceDN w:val="0"/>
                    <w:snapToGrid w:val="0"/>
                    <w:jc w:val="center"/>
                    <w:rPr>
                      <w14:ligatures w14:val="standardContextual"/>
                    </w:rPr>
                  </w:pPr>
                  <w:r>
                    <w:rPr>
                      <w:rFonts w:hint="eastAsia"/>
                      <w14:ligatures w14:val="standardContextual"/>
                    </w:rPr>
                    <w:t>符合。</w:t>
                  </w:r>
                </w:p>
              </w:tc>
            </w:tr>
            <w:tr w14:paraId="17A5A8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34" w:type="pct"/>
                  <w:vMerge w:val="restart"/>
                  <w:vAlign w:val="center"/>
                </w:tcPr>
                <w:p w14:paraId="5D78009F">
                  <w:pPr>
                    <w:widowControl w:val="0"/>
                    <w:overflowPunct w:val="0"/>
                    <w:autoSpaceDE w:val="0"/>
                    <w:autoSpaceDN w:val="0"/>
                    <w:snapToGrid w:val="0"/>
                    <w:jc w:val="center"/>
                    <w:rPr>
                      <w14:ligatures w14:val="standardContextual"/>
                    </w:rPr>
                  </w:pPr>
                  <w:r>
                    <w:rPr>
                      <w14:ligatures w14:val="standardContextual"/>
                    </w:rPr>
                    <w:t>资源开发利用效率要求</w:t>
                  </w:r>
                </w:p>
              </w:tc>
              <w:tc>
                <w:tcPr>
                  <w:tcW w:w="2362" w:type="pct"/>
                  <w:vAlign w:val="center"/>
                </w:tcPr>
                <w:p w14:paraId="5FBCBB63">
                  <w:pPr>
                    <w:widowControl w:val="0"/>
                    <w:overflowPunct w:val="0"/>
                    <w:autoSpaceDE w:val="0"/>
                    <w:autoSpaceDN w:val="0"/>
                    <w:snapToGrid w:val="0"/>
                    <w:jc w:val="center"/>
                    <w:rPr>
                      <w14:ligatures w14:val="standardContextual"/>
                    </w:rPr>
                  </w:pPr>
                  <w:r>
                    <w:rPr>
                      <w:rFonts w:hint="eastAsia"/>
                      <w14:ligatures w14:val="standardContextual"/>
                    </w:rPr>
                    <w:t>1．在禁燃区内，禁止销售、燃用高污染燃料；禁止新建、扩建燃用高污染燃料的设施，已建成的，应当在城市人民政府规定的期限内改用天然气、页岩气、液化石油气、</w:t>
                  </w:r>
                  <w:r>
                    <w:rPr>
                      <w:rFonts w:hint="eastAsia"/>
                      <w:lang w:eastAsia="zh-CN"/>
                      <w14:ligatures w14:val="standardContextual"/>
                    </w:rPr>
                    <w:t>电力</w:t>
                  </w:r>
                  <w:r>
                    <w:rPr>
                      <w:rFonts w:hint="eastAsia"/>
                      <w14:ligatures w14:val="standardContextual"/>
                    </w:rPr>
                    <w:t>或者其他清洁能源。其余按照《钦州市人民政府关于划定高污染燃料禁燃区的通告》要求实施管理。</w:t>
                  </w:r>
                </w:p>
              </w:tc>
              <w:tc>
                <w:tcPr>
                  <w:tcW w:w="2104" w:type="pct"/>
                  <w:vAlign w:val="center"/>
                </w:tcPr>
                <w:p w14:paraId="728F7670">
                  <w:pPr>
                    <w:widowControl w:val="0"/>
                    <w:overflowPunct w:val="0"/>
                    <w:autoSpaceDE w:val="0"/>
                    <w:autoSpaceDN w:val="0"/>
                    <w:snapToGrid w:val="0"/>
                    <w:jc w:val="center"/>
                    <w:rPr>
                      <w14:ligatures w14:val="standardContextual"/>
                    </w:rPr>
                  </w:pPr>
                  <w:r>
                    <w:rPr>
                      <w14:ligatures w14:val="standardContextual"/>
                    </w:rPr>
                    <w:t>本项目使用</w:t>
                  </w:r>
                  <w:r>
                    <w:rPr>
                      <w:rFonts w:hint="eastAsia"/>
                      <w14:ligatures w14:val="standardContextual"/>
                    </w:rPr>
                    <w:t>燃料为生物质成型颗粒，不属于《钦州市人民政府关于划定高污染燃料禁燃区的通告》中的</w:t>
                  </w:r>
                  <w:r>
                    <w:rPr>
                      <w14:ligatures w14:val="standardContextual"/>
                    </w:rPr>
                    <w:t>高污染燃料。</w:t>
                  </w:r>
                </w:p>
                <w:p w14:paraId="26DBB574">
                  <w:pPr>
                    <w:widowControl w:val="0"/>
                    <w:overflowPunct w:val="0"/>
                    <w:autoSpaceDE w:val="0"/>
                    <w:autoSpaceDN w:val="0"/>
                    <w:snapToGrid w:val="0"/>
                    <w:jc w:val="center"/>
                    <w:rPr>
                      <w14:ligatures w14:val="standardContextual"/>
                    </w:rPr>
                  </w:pPr>
                  <w:r>
                    <w:rPr>
                      <w:rFonts w:hint="eastAsia"/>
                      <w14:ligatures w14:val="standardContextual"/>
                    </w:rPr>
                    <w:t>项目建成后，可实现园区内集中供热。</w:t>
                  </w:r>
                </w:p>
                <w:p w14:paraId="666DA6D2">
                  <w:pPr>
                    <w:widowControl w:val="0"/>
                    <w:overflowPunct w:val="0"/>
                    <w:autoSpaceDE w:val="0"/>
                    <w:autoSpaceDN w:val="0"/>
                    <w:snapToGrid w:val="0"/>
                    <w:jc w:val="center"/>
                    <w:rPr>
                      <w:u w:val="single"/>
                      <w14:ligatures w14:val="standardContextual"/>
                    </w:rPr>
                  </w:pPr>
                  <w:r>
                    <w:rPr>
                      <w:rFonts w:hint="eastAsia"/>
                      <w14:ligatures w14:val="standardContextual"/>
                    </w:rPr>
                    <w:t>符合。</w:t>
                  </w:r>
                </w:p>
              </w:tc>
            </w:tr>
            <w:tr w14:paraId="323938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34" w:type="pct"/>
                  <w:vMerge w:val="continue"/>
                  <w:vAlign w:val="center"/>
                </w:tcPr>
                <w:p w14:paraId="494494EB">
                  <w:pPr>
                    <w:widowControl w:val="0"/>
                    <w:overflowPunct w:val="0"/>
                    <w:autoSpaceDE w:val="0"/>
                    <w:autoSpaceDN w:val="0"/>
                    <w:snapToGrid w:val="0"/>
                    <w:jc w:val="center"/>
                    <w:rPr>
                      <w14:ligatures w14:val="standardContextual"/>
                    </w:rPr>
                  </w:pPr>
                </w:p>
              </w:tc>
              <w:tc>
                <w:tcPr>
                  <w:tcW w:w="2362" w:type="pct"/>
                  <w:vAlign w:val="center"/>
                </w:tcPr>
                <w:p w14:paraId="6711CB51">
                  <w:pPr>
                    <w:widowControl w:val="0"/>
                    <w:overflowPunct w:val="0"/>
                    <w:autoSpaceDE w:val="0"/>
                    <w:autoSpaceDN w:val="0"/>
                    <w:snapToGrid w:val="0"/>
                    <w:jc w:val="center"/>
                    <w:rPr>
                      <w14:ligatures w14:val="standardContextual"/>
                    </w:rPr>
                  </w:pPr>
                  <w:r>
                    <w:rPr>
                      <w:rFonts w:hint="eastAsia"/>
                      <w14:ligatures w14:val="standardContextual"/>
                    </w:rPr>
                    <w:t>2．严格用水总量，节约水资源，提高水循环利用率；坚持节约集约用地，提高土地利用效率。</w:t>
                  </w:r>
                </w:p>
              </w:tc>
              <w:tc>
                <w:tcPr>
                  <w:tcW w:w="2104" w:type="pct"/>
                  <w:vAlign w:val="center"/>
                </w:tcPr>
                <w:p w14:paraId="10589793">
                  <w:pPr>
                    <w:widowControl w:val="0"/>
                    <w:overflowPunct w:val="0"/>
                    <w:autoSpaceDE w:val="0"/>
                    <w:autoSpaceDN w:val="0"/>
                    <w:snapToGrid w:val="0"/>
                    <w:jc w:val="center"/>
                    <w:rPr>
                      <w14:ligatures w14:val="standardContextual"/>
                    </w:rPr>
                  </w:pPr>
                  <w:r>
                    <w:rPr>
                      <w14:ligatures w14:val="standardContextual"/>
                    </w:rPr>
                    <w:t>项目水资源来源于园区自来水管网，不涉及自行取水</w:t>
                  </w:r>
                  <w:r>
                    <w:rPr>
                      <w:rFonts w:hint="eastAsia"/>
                      <w14:ligatures w14:val="standardContextual"/>
                    </w:rPr>
                    <w:t>，项目用地符合国土空间规划。</w:t>
                  </w:r>
                </w:p>
                <w:p w14:paraId="30B1DB5C">
                  <w:pPr>
                    <w:widowControl w:val="0"/>
                    <w:overflowPunct w:val="0"/>
                    <w:autoSpaceDE w:val="0"/>
                    <w:autoSpaceDN w:val="0"/>
                    <w:snapToGrid w:val="0"/>
                    <w:jc w:val="center"/>
                    <w:rPr>
                      <w14:ligatures w14:val="standardContextual"/>
                    </w:rPr>
                  </w:pPr>
                  <w:r>
                    <w:rPr>
                      <w:rFonts w:hint="eastAsia"/>
                      <w14:ligatures w14:val="standardContextual"/>
                    </w:rPr>
                    <w:t>符合。</w:t>
                  </w:r>
                </w:p>
              </w:tc>
            </w:tr>
            <w:tr w14:paraId="1220B0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34" w:type="pct"/>
                  <w:vMerge w:val="continue"/>
                  <w:vAlign w:val="center"/>
                </w:tcPr>
                <w:p w14:paraId="3B105DA5">
                  <w:pPr>
                    <w:widowControl w:val="0"/>
                    <w:overflowPunct w:val="0"/>
                    <w:autoSpaceDE w:val="0"/>
                    <w:autoSpaceDN w:val="0"/>
                    <w:snapToGrid w:val="0"/>
                    <w:jc w:val="center"/>
                    <w:rPr>
                      <w14:ligatures w14:val="standardContextual"/>
                    </w:rPr>
                  </w:pPr>
                </w:p>
              </w:tc>
              <w:tc>
                <w:tcPr>
                  <w:tcW w:w="2362" w:type="pct"/>
                  <w:vAlign w:val="center"/>
                </w:tcPr>
                <w:p w14:paraId="7DE55549">
                  <w:pPr>
                    <w:widowControl w:val="0"/>
                    <w:overflowPunct w:val="0"/>
                    <w:autoSpaceDE w:val="0"/>
                    <w:autoSpaceDN w:val="0"/>
                    <w:snapToGrid w:val="0"/>
                    <w:jc w:val="center"/>
                    <w:rPr>
                      <w14:ligatures w14:val="standardContextual"/>
                    </w:rPr>
                  </w:pPr>
                  <w:r>
                    <w:rPr>
                      <w:rFonts w:hint="eastAsia"/>
                      <w14:ligatures w14:val="standardContextual"/>
                    </w:rPr>
                    <w:t>3．严格执行国家和自治区关于能耗双控和碳排放目标。</w:t>
                  </w:r>
                </w:p>
              </w:tc>
              <w:tc>
                <w:tcPr>
                  <w:tcW w:w="2104" w:type="pct"/>
                  <w:vAlign w:val="center"/>
                </w:tcPr>
                <w:p w14:paraId="6205C342">
                  <w:pPr>
                    <w:widowControl w:val="0"/>
                    <w:overflowPunct w:val="0"/>
                    <w:autoSpaceDE w:val="0"/>
                    <w:autoSpaceDN w:val="0"/>
                    <w:snapToGrid w:val="0"/>
                    <w:jc w:val="center"/>
                    <w:rPr>
                      <w14:ligatures w14:val="standardContextual"/>
                    </w:rPr>
                  </w:pPr>
                  <w:r>
                    <w:rPr>
                      <w:rFonts w:hint="eastAsia"/>
                      <w14:ligatures w14:val="standardContextual"/>
                    </w:rPr>
                    <w:t>项目严格落实能耗双控和碳排放管理要求。</w:t>
                  </w:r>
                </w:p>
              </w:tc>
            </w:tr>
            <w:bookmarkEnd w:id="26"/>
          </w:tbl>
          <w:p w14:paraId="43BF5B00">
            <w:pPr>
              <w:pStyle w:val="49"/>
            </w:pPr>
          </w:p>
          <w:p w14:paraId="51A20E07">
            <w:pPr>
              <w:pStyle w:val="3"/>
              <w:ind w:firstLine="480"/>
            </w:pPr>
            <w:r>
              <w:rPr>
                <w:rFonts w:hint="eastAsia"/>
              </w:rPr>
              <w:t>综上所述，本项目符合“三线一单”生态环境分区管控方案要求。</w:t>
            </w:r>
          </w:p>
          <w:p w14:paraId="104CA6EC">
            <w:pPr>
              <w:pStyle w:val="3"/>
              <w:ind w:firstLine="480"/>
            </w:pPr>
          </w:p>
          <w:p w14:paraId="41B71D25">
            <w:pPr>
              <w:pStyle w:val="3"/>
              <w:ind w:firstLine="480"/>
            </w:pPr>
          </w:p>
          <w:p w14:paraId="17BC744A">
            <w:pPr>
              <w:pStyle w:val="3"/>
              <w:ind w:firstLine="480"/>
            </w:pPr>
          </w:p>
          <w:p w14:paraId="4A191682">
            <w:pPr>
              <w:pStyle w:val="3"/>
              <w:ind w:firstLine="480"/>
            </w:pPr>
          </w:p>
        </w:tc>
      </w:tr>
    </w:tbl>
    <w:p w14:paraId="4EF35941">
      <w:pPr>
        <w:spacing w:line="360" w:lineRule="auto"/>
        <w:outlineLvl w:val="0"/>
        <w:rPr>
          <w:rFonts w:eastAsia="黑体"/>
          <w:sz w:val="30"/>
        </w:rPr>
        <w:sectPr>
          <w:footerReference r:id="rId4" w:type="default"/>
          <w:pgSz w:w="11906" w:h="16838"/>
          <w:pgMar w:top="1440" w:right="1800" w:bottom="1440" w:left="1800" w:header="851" w:footer="1077" w:gutter="0"/>
          <w:pgNumType w:start="1"/>
          <w:cols w:space="720" w:num="1"/>
          <w:docGrid w:linePitch="312" w:charSpace="0"/>
        </w:sectPr>
      </w:pPr>
    </w:p>
    <w:p w14:paraId="68B3F751">
      <w:pPr>
        <w:pStyle w:val="2"/>
        <w:rPr>
          <w:snapToGrid w:val="0"/>
        </w:rPr>
      </w:pPr>
      <w:bookmarkStart w:id="39" w:name="_Toc175609268"/>
      <w:bookmarkStart w:id="40" w:name="_Toc191861460"/>
      <w:r>
        <w:rPr>
          <w:rFonts w:hint="eastAsia"/>
          <w:snapToGrid w:val="0"/>
        </w:rPr>
        <w:t>建设项目工程分析</w:t>
      </w:r>
      <w:bookmarkEnd w:id="39"/>
      <w:bookmarkEnd w:id="40"/>
    </w:p>
    <w:p w14:paraId="1A4344D1"/>
    <w:tbl>
      <w:tblPr>
        <w:tblStyle w:val="2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67"/>
        <w:gridCol w:w="8593"/>
      </w:tblGrid>
      <w:tr w14:paraId="120D6B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037" w:hRule="atLeast"/>
          <w:jc w:val="center"/>
        </w:trPr>
        <w:tc>
          <w:tcPr>
            <w:tcW w:w="258" w:type="pct"/>
            <w:vAlign w:val="center"/>
          </w:tcPr>
          <w:p w14:paraId="5B23BD0F">
            <w:pPr>
              <w:pStyle w:val="18"/>
              <w:rPr>
                <w:rFonts w:hint="eastAsia"/>
              </w:rPr>
            </w:pPr>
            <w:r>
              <w:rPr>
                <w:rFonts w:hint="eastAsia"/>
              </w:rPr>
              <w:t>建设内容</w:t>
            </w:r>
          </w:p>
        </w:tc>
        <w:tc>
          <w:tcPr>
            <w:tcW w:w="4742" w:type="pct"/>
          </w:tcPr>
          <w:p w14:paraId="7CE92822">
            <w:pPr>
              <w:pStyle w:val="7"/>
            </w:pPr>
            <w:bookmarkStart w:id="41" w:name="_Hlk151415178"/>
            <w:r>
              <w:rPr>
                <w:rFonts w:hint="eastAsia"/>
              </w:rPr>
              <w:t>一、项目由来</w:t>
            </w:r>
          </w:p>
          <w:p w14:paraId="72A76651">
            <w:pPr>
              <w:pStyle w:val="3"/>
              <w:ind w:firstLine="480"/>
            </w:pPr>
            <w:r>
              <w:rPr>
                <w:rFonts w:hint="eastAsia"/>
              </w:rPr>
              <w:t>“</w:t>
            </w:r>
            <w:bookmarkStart w:id="42" w:name="OLE_LINK165"/>
            <w:r>
              <w:rPr>
                <w:rFonts w:hint="eastAsia"/>
              </w:rPr>
              <w:t>马来西亚中小企业集聚区标准厂房及配套设施建设项目</w:t>
            </w:r>
            <w:bookmarkEnd w:id="42"/>
            <w:r>
              <w:t>”</w:t>
            </w:r>
            <w:r>
              <w:rPr>
                <w:rFonts w:hint="eastAsia"/>
              </w:rPr>
              <w:t>建设地点位于</w:t>
            </w:r>
            <w:r>
              <w:rPr>
                <w:rFonts w:hint="eastAsia"/>
                <w:lang w:eastAsia="zh-CN"/>
              </w:rPr>
              <w:t>中国—马来西亚</w:t>
            </w:r>
            <w:r>
              <w:rPr>
                <w:rFonts w:hint="eastAsia"/>
              </w:rPr>
              <w:t>钦州产业园，地块范围东至六钦高速延长线、南至马莱大道、西至锦绣大道、北至马淑路，规划总用地面积237亩，项目处于中国（广西）自由贸易试验区钦州港片区（中马产业园）范围内。</w:t>
            </w:r>
            <w:bookmarkStart w:id="43" w:name="OLE_LINK274"/>
            <w:bookmarkStart w:id="44" w:name="OLE_LINK275"/>
            <w:r>
              <w:rPr>
                <w:rFonts w:hint="eastAsia"/>
              </w:rPr>
              <w:t>本项目为马来西亚中小企业集聚区标准厂房及配套设施建设项目的子工程</w:t>
            </w:r>
            <w:bookmarkEnd w:id="43"/>
            <w:r>
              <w:rPr>
                <w:rFonts w:hint="eastAsia"/>
              </w:rPr>
              <w:t>，</w:t>
            </w:r>
            <w:bookmarkEnd w:id="44"/>
            <w:r>
              <w:rPr>
                <w:rFonts w:hint="eastAsia"/>
              </w:rPr>
              <w:t>共分为六个部分，分别为装饰装修工程、光伏发电工程、</w:t>
            </w:r>
            <w:bookmarkStart w:id="45" w:name="OLE_LINK17"/>
            <w:r>
              <w:rPr>
                <w:rFonts w:hint="eastAsia"/>
              </w:rPr>
              <w:t>供热管道</w:t>
            </w:r>
            <w:bookmarkEnd w:id="45"/>
            <w:r>
              <w:rPr>
                <w:rFonts w:hint="eastAsia"/>
              </w:rPr>
              <w:t>及</w:t>
            </w:r>
            <w:bookmarkStart w:id="46" w:name="OLE_LINK13"/>
            <w:r>
              <w:rPr>
                <w:rFonts w:hint="eastAsia"/>
              </w:rPr>
              <w:t>生物质锅炉工程</w:t>
            </w:r>
            <w:bookmarkEnd w:id="46"/>
            <w:r>
              <w:rPr>
                <w:rFonts w:hint="eastAsia"/>
              </w:rPr>
              <w:t>、仓储系统工程、</w:t>
            </w:r>
            <w:bookmarkStart w:id="47" w:name="OLE_LINK23"/>
            <w:r>
              <w:rPr>
                <w:rFonts w:hint="eastAsia"/>
              </w:rPr>
              <w:t>场地硬化工程</w:t>
            </w:r>
            <w:bookmarkEnd w:id="47"/>
            <w:r>
              <w:rPr>
                <w:rFonts w:hint="eastAsia"/>
              </w:rPr>
              <w:t>以及</w:t>
            </w:r>
            <w:bookmarkStart w:id="48" w:name="OLE_LINK32"/>
            <w:r>
              <w:rPr>
                <w:rFonts w:hint="eastAsia"/>
              </w:rPr>
              <w:t>桥式起重机工程</w:t>
            </w:r>
            <w:bookmarkEnd w:id="48"/>
            <w:r>
              <w:rPr>
                <w:rFonts w:hint="eastAsia"/>
              </w:rPr>
              <w:t>。</w:t>
            </w:r>
          </w:p>
          <w:p w14:paraId="5F63D0FF">
            <w:pPr>
              <w:pStyle w:val="3"/>
              <w:ind w:firstLine="480"/>
            </w:pPr>
            <w:r>
              <w:rPr>
                <w:rFonts w:hint="eastAsia"/>
              </w:rPr>
              <w:t>根据《中华人民共和国环境保护法》（2014年4月24日第十二届全国人民代表大会常务委员会第八次会议修订）、《建设项目环境保护管理条例》（中华人民共和国国务院令第682号，2017年7月16日修订）、《中华人民共和国环境影响评价法》（中华人民共和国主席令第二十四号，2018年12月29日修正）的有关规定，本项目需要进行环境影响评价。</w:t>
            </w:r>
          </w:p>
          <w:p w14:paraId="6FC25886">
            <w:pPr>
              <w:pStyle w:val="3"/>
              <w:ind w:firstLine="480"/>
            </w:pPr>
            <w:r>
              <w:rPr>
                <w:rFonts w:hint="eastAsia"/>
              </w:rPr>
              <w:t>根据《建设项目环境影响评价分类管理名录》（2021版）</w:t>
            </w:r>
            <w:r>
              <w:rPr>
                <w:rFonts w:hint="eastAsia"/>
                <w:color w:val="auto"/>
                <w:u w:val="single"/>
              </w:rPr>
              <w:t>，本项目涉及的标准厂房依托现有工程，生物质锅炉工程属于</w:t>
            </w:r>
            <w:bookmarkStart w:id="49" w:name="OLE_LINK167"/>
            <w:r>
              <w:rPr>
                <w:rFonts w:hint="eastAsia"/>
                <w:color w:val="auto"/>
                <w:u w:val="single"/>
              </w:rPr>
              <w:t>“</w:t>
            </w:r>
            <w:bookmarkStart w:id="50" w:name="OLE_LINK168"/>
            <w:r>
              <w:rPr>
                <w:rFonts w:hint="eastAsia"/>
                <w:color w:val="auto"/>
                <w:u w:val="single"/>
              </w:rPr>
              <w:t>四十一、电力、热力生产和供应业-91热力生产和供应工程(包括建设单位自建自用的供热工程)</w:t>
            </w:r>
            <w:bookmarkEnd w:id="49"/>
            <w:r>
              <w:rPr>
                <w:rFonts w:hint="eastAsia"/>
                <w:color w:val="auto"/>
                <w:u w:val="single"/>
              </w:rPr>
              <w:t>”</w:t>
            </w:r>
            <w:bookmarkEnd w:id="50"/>
            <w:r>
              <w:rPr>
                <w:rFonts w:hint="eastAsia"/>
                <w:color w:val="auto"/>
                <w:u w:val="single"/>
              </w:rPr>
              <w:t>，应编制环境影响报告表；同时本项目供热管道</w:t>
            </w:r>
            <w:r>
              <w:rPr>
                <w:color w:val="auto"/>
                <w:u w:val="single"/>
              </w:rPr>
              <w:t>，属于</w:t>
            </w:r>
            <w:r>
              <w:rPr>
                <w:rFonts w:hint="eastAsia"/>
                <w:color w:val="auto"/>
                <w:u w:val="single"/>
              </w:rPr>
              <w:t>“</w:t>
            </w:r>
            <w:bookmarkStart w:id="51" w:name="OLE_LINK34"/>
            <w:r>
              <w:rPr>
                <w:rFonts w:hint="eastAsia"/>
                <w:color w:val="auto"/>
                <w:u w:val="single"/>
              </w:rPr>
              <w:t>五十二、电、交通运输业、管道运输业-146城市（镇）管网及管廊建设-其他</w:t>
            </w:r>
            <w:bookmarkEnd w:id="51"/>
            <w:r>
              <w:rPr>
                <w:rFonts w:hint="eastAsia"/>
                <w:color w:val="auto"/>
                <w:u w:val="single"/>
              </w:rPr>
              <w:t>”，应填报环境影响登记表；本项目光伏发电工程另行评价，不在本次评价范围之内；本项目装饰装修工程和场地硬化工程仅涉及施工作业，仓储系统工程和桥式起重机工程仅涉及设备安装，不涉及具体运营项目，属于名录未规定的内容，无须办理环评手续。综上所述，本次评价涉及两个项目类别，</w:t>
            </w:r>
            <w:r>
              <w:rPr>
                <w:rFonts w:hint="eastAsia"/>
              </w:rPr>
              <w:t>因此环境影响评价类别按照其中单项等级最高的确定，因此本项目按照“四十一、电力、热力生产和供应业-91热力生产和供应工程(包括建设单位自建自用的供热工程)”类别编制污染影响型环境影响报告表。</w:t>
            </w:r>
          </w:p>
          <w:p w14:paraId="40EB3245">
            <w:pPr>
              <w:pStyle w:val="3"/>
              <w:ind w:firstLine="480"/>
            </w:pPr>
            <w:r>
              <w:rPr>
                <w:rFonts w:hint="eastAsia"/>
              </w:rPr>
              <w:t>广西自由贸易试验区钦州港片区华互东恒投资咨询有限公司委托我公司编制该项目的环境影响报告表。本环评单位接受委托后，立即派技术人员踏勘现场和收集有关资料，并依照相关规定编写成报告表，供建设单位报环境保护行政主管部门审批和作为污染防治建设的依据。</w:t>
            </w:r>
          </w:p>
          <w:p w14:paraId="0DCB028C">
            <w:pPr>
              <w:pStyle w:val="7"/>
            </w:pPr>
            <w:r>
              <w:rPr>
                <w:rFonts w:hint="eastAsia"/>
              </w:rPr>
              <w:t>二、项目概况</w:t>
            </w:r>
          </w:p>
          <w:p w14:paraId="402D5DB2">
            <w:pPr>
              <w:pStyle w:val="3"/>
              <w:ind w:firstLine="480"/>
            </w:pPr>
            <w:r>
              <w:rPr>
                <w:rFonts w:hint="eastAsia"/>
              </w:rPr>
              <w:t>（1）项目名称：马来西亚中小企业集聚区标准厂房及配套设施建设项目子项工程；</w:t>
            </w:r>
          </w:p>
          <w:p w14:paraId="27704F48">
            <w:pPr>
              <w:pStyle w:val="3"/>
              <w:ind w:firstLine="480"/>
            </w:pPr>
            <w:r>
              <w:rPr>
                <w:rFonts w:hint="eastAsia"/>
              </w:rPr>
              <w:t>（2）建设单位：广西自由贸易试验区钦州港片区华互东恒投资咨询有限公司；</w:t>
            </w:r>
          </w:p>
          <w:p w14:paraId="1A9E39ED">
            <w:pPr>
              <w:pStyle w:val="3"/>
              <w:ind w:firstLine="480"/>
            </w:pPr>
            <w:r>
              <w:rPr>
                <w:rFonts w:hint="eastAsia"/>
              </w:rPr>
              <w:t>（3）建设地点：中马钦州产业园区马莱大道以北片区，东临六钦高速延长线，西至锦绣大道，南起马莱大道，北至马淑路，项目中心地理坐标为东经108°41′34.990″</w:t>
            </w:r>
            <w:r>
              <w:t>，</w:t>
            </w:r>
            <w:r>
              <w:rPr>
                <w:rFonts w:hint="eastAsia"/>
              </w:rPr>
              <w:t>北纬21°47′51.511″</w:t>
            </w:r>
            <w:r>
              <w:t>；</w:t>
            </w:r>
          </w:p>
          <w:p w14:paraId="4320F87D">
            <w:pPr>
              <w:pStyle w:val="3"/>
              <w:ind w:firstLine="480"/>
            </w:pPr>
            <w:r>
              <w:rPr>
                <w:rFonts w:hint="eastAsia"/>
              </w:rPr>
              <w:t>（4）项目投资：本项目总投资8430.66万元，环保投资55万元，占总投资的0.65%；</w:t>
            </w:r>
          </w:p>
          <w:p w14:paraId="62E9A082">
            <w:pPr>
              <w:pStyle w:val="3"/>
              <w:ind w:firstLine="480"/>
            </w:pPr>
            <w:r>
              <w:rPr>
                <w:rFonts w:hint="eastAsia"/>
              </w:rPr>
              <w:t>（5）建设内容及生产规模：</w:t>
            </w:r>
          </w:p>
          <w:p w14:paraId="14F6DC05">
            <w:pPr>
              <w:pStyle w:val="3"/>
              <w:ind w:firstLine="480"/>
            </w:pPr>
            <w:bookmarkStart w:id="52" w:name="OLE_LINK180"/>
            <w:r>
              <w:rPr>
                <w:rFonts w:hint="eastAsia"/>
              </w:rPr>
              <w:t>本项目为</w:t>
            </w:r>
            <w:bookmarkStart w:id="53" w:name="OLE_LINK194"/>
            <w:r>
              <w:rPr>
                <w:rFonts w:hint="eastAsia"/>
              </w:rPr>
              <w:t>马来西亚中小企业集聚区标准厂房及配套设施建设项目的子工程，</w:t>
            </w:r>
            <w:bookmarkEnd w:id="52"/>
            <w:r>
              <w:rPr>
                <w:rFonts w:hint="eastAsia"/>
              </w:rPr>
              <w:t>共分为六个部分，分别为</w:t>
            </w:r>
            <w:bookmarkStart w:id="54" w:name="OLE_LINK169"/>
            <w:r>
              <w:rPr>
                <w:rFonts w:hint="eastAsia"/>
              </w:rPr>
              <w:t>装饰装修工程</w:t>
            </w:r>
            <w:bookmarkEnd w:id="54"/>
            <w:r>
              <w:rPr>
                <w:rFonts w:hint="eastAsia"/>
              </w:rPr>
              <w:t>、光伏发电工程、供热管道及</w:t>
            </w:r>
            <w:bookmarkStart w:id="55" w:name="OLE_LINK304"/>
            <w:r>
              <w:rPr>
                <w:rFonts w:hint="eastAsia"/>
              </w:rPr>
              <w:t>生物质锅炉工程</w:t>
            </w:r>
            <w:bookmarkEnd w:id="55"/>
            <w:r>
              <w:rPr>
                <w:rFonts w:hint="eastAsia"/>
              </w:rPr>
              <w:t>、仓储系统工程、场地硬化工程以及</w:t>
            </w:r>
            <w:bookmarkStart w:id="56" w:name="OLE_LINK170"/>
            <w:r>
              <w:rPr>
                <w:rFonts w:hint="eastAsia"/>
              </w:rPr>
              <w:t>桥式起重机工程</w:t>
            </w:r>
            <w:bookmarkEnd w:id="53"/>
            <w:bookmarkEnd w:id="56"/>
            <w:r>
              <w:rPr>
                <w:rFonts w:hint="eastAsia"/>
              </w:rPr>
              <w:t>。其中生物质锅炉工程设置4台8t/h生物质成型燃料锅炉，光伏发电工程发电容量4.5MW。</w:t>
            </w:r>
          </w:p>
          <w:p w14:paraId="188D011B">
            <w:pPr>
              <w:pStyle w:val="3"/>
              <w:ind w:firstLine="482"/>
              <w:rPr>
                <w:b/>
                <w:bCs/>
                <w:color w:val="auto"/>
                <w:u w:val="single"/>
              </w:rPr>
            </w:pPr>
            <w:bookmarkStart w:id="57" w:name="OLE_LINK56"/>
            <w:r>
              <w:rPr>
                <w:rFonts w:hint="eastAsia"/>
                <w:b/>
                <w:bCs/>
                <w:color w:val="auto"/>
                <w:u w:val="single"/>
              </w:rPr>
              <w:t>本项目光伏发电工程另行评价，不在本次环评之内。</w:t>
            </w:r>
            <w:bookmarkEnd w:id="57"/>
          </w:p>
          <w:p w14:paraId="77E4391B">
            <w:pPr>
              <w:pStyle w:val="3"/>
              <w:ind w:firstLine="480"/>
            </w:pPr>
            <w:bookmarkStart w:id="58" w:name="_Hlk152252157"/>
            <w:r>
              <w:rPr>
                <w:rFonts w:hint="eastAsia"/>
              </w:rPr>
              <w:t>三、项目组成</w:t>
            </w:r>
            <w:bookmarkStart w:id="59" w:name="OLE_LINK36"/>
          </w:p>
          <w:bookmarkEnd w:id="59"/>
          <w:p w14:paraId="096FB89F">
            <w:pPr>
              <w:pStyle w:val="3"/>
              <w:ind w:firstLine="480"/>
            </w:pPr>
            <w:r>
              <w:rPr>
                <w:rFonts w:hint="eastAsia"/>
              </w:rPr>
              <w:t xml:space="preserve">本项目工程组成见表2- </w:t>
            </w:r>
            <w:r>
              <w:t>1</w:t>
            </w:r>
            <w:r>
              <w:rPr>
                <w:rFonts w:hint="eastAsia"/>
              </w:rPr>
              <w:t>。</w:t>
            </w:r>
          </w:p>
          <w:bookmarkEnd w:id="41"/>
          <w:bookmarkEnd w:id="58"/>
          <w:p w14:paraId="27D5B1BE">
            <w:pPr>
              <w:pStyle w:val="49"/>
              <w:rPr>
                <w:szCs w:val="24"/>
              </w:rPr>
            </w:pPr>
            <w:bookmarkStart w:id="60" w:name="_Ref170675760"/>
            <w:bookmarkStart w:id="61" w:name="_Ref176965472"/>
            <w:r>
              <w:rPr>
                <w:rFonts w:hint="eastAsia"/>
              </w:rPr>
              <w:t xml:space="preserve">表2- </w:t>
            </w:r>
            <w:r>
              <w:t>1</w:t>
            </w:r>
            <w:bookmarkEnd w:id="60"/>
            <w:r>
              <w:rPr>
                <w:rFonts w:hint="eastAsia"/>
              </w:rPr>
              <w:t>：</w:t>
            </w:r>
            <w:bookmarkStart w:id="62" w:name="_Hlk170745151"/>
            <w:r>
              <w:rPr>
                <w:rFonts w:hint="eastAsia"/>
              </w:rPr>
              <w:t>工程组成</w:t>
            </w:r>
            <w:r>
              <w:rPr>
                <w:rFonts w:hint="eastAsia"/>
                <w:szCs w:val="24"/>
              </w:rPr>
              <w:t>一览表</w:t>
            </w:r>
            <w:bookmarkEnd w:id="61"/>
            <w:bookmarkEnd w:id="62"/>
          </w:p>
          <w:tbl>
            <w:tblPr>
              <w:tblStyle w:val="5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472"/>
              <w:gridCol w:w="839"/>
              <w:gridCol w:w="6253"/>
              <w:gridCol w:w="813"/>
            </w:tblGrid>
            <w:tr w14:paraId="22F6F1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783" w:type="pct"/>
                  <w:gridSpan w:val="2"/>
                  <w:tcBorders>
                    <w:top w:val="single" w:color="auto" w:sz="12" w:space="0"/>
                    <w:left w:val="nil"/>
                    <w:bottom w:val="single" w:color="auto" w:sz="12" w:space="0"/>
                    <w:right w:val="single" w:color="auto" w:sz="4" w:space="0"/>
                    <w:insideH w:val="single" w:sz="12" w:space="0"/>
                    <w:insideV w:val="single" w:sz="4" w:space="0"/>
                    <w:tl2br w:val="nil"/>
                    <w:tr2bl w:val="nil"/>
                  </w:tcBorders>
                  <w:vAlign w:val="center"/>
                </w:tcPr>
                <w:p w14:paraId="70DED9A6">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z w:val="21"/>
                      <w:szCs w:val="21"/>
                      <w14:ligatures w14:val="standardContextual"/>
                    </w:rPr>
                  </w:pPr>
                  <w:r>
                    <w:rPr>
                      <w:rFonts w:hint="default" w:ascii="Times New Roman" w:hAnsi="Times New Roman" w:eastAsia="宋体" w:cs="Times New Roman"/>
                      <w:b/>
                      <w:i w:val="0"/>
                      <w:sz w:val="21"/>
                      <w:szCs w:val="21"/>
                      <w14:ligatures w14:val="standardContextual"/>
                    </w:rPr>
                    <w:t>工程类别</w:t>
                  </w:r>
                </w:p>
              </w:tc>
              <w:tc>
                <w:tcPr>
                  <w:tcW w:w="3732"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3050B32F">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z w:val="21"/>
                      <w:szCs w:val="21"/>
                      <w14:ligatures w14:val="standardContextual"/>
                    </w:rPr>
                  </w:pPr>
                  <w:r>
                    <w:rPr>
                      <w:rFonts w:hint="default" w:ascii="Times New Roman" w:hAnsi="Times New Roman" w:eastAsia="宋体" w:cs="Times New Roman"/>
                      <w:b/>
                      <w:i w:val="0"/>
                      <w:sz w:val="21"/>
                      <w:szCs w:val="21"/>
                      <w14:ligatures w14:val="standardContextual"/>
                    </w:rPr>
                    <w:t>项目建设内容</w:t>
                  </w:r>
                  <w:r>
                    <w:rPr>
                      <w:rFonts w:hint="eastAsia" w:ascii="Times New Roman" w:hAnsi="Times New Roman" w:eastAsia="宋体" w:cs="Times New Roman"/>
                      <w:b/>
                      <w:i w:val="0"/>
                      <w:sz w:val="21"/>
                      <w:szCs w:val="21"/>
                      <w14:ligatures w14:val="standardContextual"/>
                    </w:rPr>
                    <w:t>及建设规模</w:t>
                  </w:r>
                </w:p>
              </w:tc>
              <w:tc>
                <w:tcPr>
                  <w:tcW w:w="485" w:type="pct"/>
                  <w:tcBorders>
                    <w:top w:val="single" w:color="auto" w:sz="12" w:space="0"/>
                    <w:bottom w:val="single" w:color="auto" w:sz="12" w:space="0"/>
                    <w:right w:val="nil"/>
                    <w:insideH w:val="single" w:sz="12" w:space="0"/>
                    <w:insideV w:val="single" w:sz="4" w:space="0"/>
                    <w:tl2br w:val="nil"/>
                    <w:tr2bl w:val="nil"/>
                  </w:tcBorders>
                  <w:vAlign w:val="center"/>
                </w:tcPr>
                <w:p w14:paraId="79683172">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FF0000"/>
                      <w:sz w:val="21"/>
                      <w:szCs w:val="21"/>
                      <w14:ligatures w14:val="standardContextual"/>
                    </w:rPr>
                  </w:pPr>
                  <w:r>
                    <w:rPr>
                      <w:rFonts w:hint="eastAsia" w:ascii="Times New Roman" w:hAnsi="Times New Roman" w:eastAsia="宋体" w:cs="Times New Roman"/>
                      <w:b/>
                      <w:i w:val="0"/>
                      <w:color w:val="FF0000"/>
                      <w:sz w:val="21"/>
                      <w:szCs w:val="21"/>
                      <w14:ligatures w14:val="standardContextual"/>
                    </w:rPr>
                    <w:t>备注</w:t>
                  </w:r>
                </w:p>
              </w:tc>
            </w:tr>
            <w:tr w14:paraId="3C616C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82" w:type="pct"/>
                  <w:vMerge w:val="restart"/>
                  <w:vAlign w:val="center"/>
                </w:tcPr>
                <w:p w14:paraId="627B870B">
                  <w:pPr>
                    <w:widowControl w:val="0"/>
                    <w:overflowPunct w:val="0"/>
                    <w:autoSpaceDE w:val="0"/>
                    <w:autoSpaceDN w:val="0"/>
                    <w:snapToGrid w:val="0"/>
                    <w:jc w:val="center"/>
                    <w:rPr>
                      <w14:ligatures w14:val="standardContextual"/>
                    </w:rPr>
                  </w:pPr>
                  <w:r>
                    <w:rPr>
                      <w14:ligatures w14:val="standardContextual"/>
                    </w:rPr>
                    <w:t>主体工程</w:t>
                  </w:r>
                </w:p>
              </w:tc>
              <w:tc>
                <w:tcPr>
                  <w:tcW w:w="501" w:type="pct"/>
                  <w:vAlign w:val="center"/>
                </w:tcPr>
                <w:p w14:paraId="37F88EBB">
                  <w:pPr>
                    <w:widowControl w:val="0"/>
                    <w:overflowPunct w:val="0"/>
                    <w:autoSpaceDE w:val="0"/>
                    <w:autoSpaceDN w:val="0"/>
                    <w:snapToGrid w:val="0"/>
                    <w:jc w:val="center"/>
                    <w:rPr>
                      <w14:ligatures w14:val="standardContextual"/>
                    </w:rPr>
                  </w:pPr>
                  <w:r>
                    <w:rPr>
                      <w:rFonts w:hint="eastAsia"/>
                      <w14:ligatures w14:val="standardContextual"/>
                    </w:rPr>
                    <w:t>装饰装修工程</w:t>
                  </w:r>
                </w:p>
              </w:tc>
              <w:tc>
                <w:tcPr>
                  <w:tcW w:w="3732" w:type="pct"/>
                  <w:vAlign w:val="center"/>
                </w:tcPr>
                <w:p w14:paraId="70710F36">
                  <w:pPr>
                    <w:widowControl w:val="0"/>
                    <w:overflowPunct w:val="0"/>
                    <w:autoSpaceDE w:val="0"/>
                    <w:autoSpaceDN w:val="0"/>
                    <w:snapToGrid w:val="0"/>
                    <w:jc w:val="center"/>
                    <w:rPr>
                      <w14:ligatures w14:val="standardContextual"/>
                    </w:rPr>
                  </w:pPr>
                  <w:r>
                    <w:rPr>
                      <w:rFonts w:hint="eastAsia"/>
                      <w14:ligatures w14:val="standardContextual"/>
                    </w:rPr>
                    <w:t>对“马来西亚中小企业集聚区标准厂房及配套设施建设项目”内1-8#、15-18#标准厂房进行装修，总装修面积为87934平方米。</w:t>
                  </w:r>
                </w:p>
              </w:tc>
              <w:tc>
                <w:tcPr>
                  <w:tcW w:w="485" w:type="pct"/>
                  <w:vAlign w:val="center"/>
                </w:tcPr>
                <w:p w14:paraId="36BEE0AA">
                  <w:pPr>
                    <w:widowControl w:val="0"/>
                    <w:overflowPunct w:val="0"/>
                    <w:autoSpaceDE w:val="0"/>
                    <w:autoSpaceDN w:val="0"/>
                    <w:snapToGrid w:val="0"/>
                    <w:jc w:val="center"/>
                    <w:rPr>
                      <w:color w:val="auto"/>
                      <w:u w:val="single"/>
                      <w14:ligatures w14:val="standardContextual"/>
                    </w:rPr>
                  </w:pPr>
                  <w:r>
                    <w:rPr>
                      <w:rFonts w:hint="eastAsia"/>
                      <w:color w:val="auto"/>
                      <w:u w:val="single"/>
                      <w14:ligatures w14:val="standardContextual"/>
                    </w:rPr>
                    <w:t>依托现有厂房</w:t>
                  </w:r>
                </w:p>
              </w:tc>
            </w:tr>
            <w:tr w14:paraId="06B188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82" w:type="pct"/>
                  <w:vMerge w:val="continue"/>
                  <w:vAlign w:val="center"/>
                </w:tcPr>
                <w:p w14:paraId="27A64D7C">
                  <w:pPr>
                    <w:widowControl w:val="0"/>
                    <w:overflowPunct w:val="0"/>
                    <w:autoSpaceDE w:val="0"/>
                    <w:autoSpaceDN w:val="0"/>
                    <w:snapToGrid w:val="0"/>
                    <w:jc w:val="center"/>
                    <w:rPr>
                      <w14:ligatures w14:val="standardContextual"/>
                    </w:rPr>
                  </w:pPr>
                </w:p>
              </w:tc>
              <w:tc>
                <w:tcPr>
                  <w:tcW w:w="501" w:type="pct"/>
                  <w:vAlign w:val="center"/>
                </w:tcPr>
                <w:p w14:paraId="31F76809">
                  <w:pPr>
                    <w:widowControl w:val="0"/>
                    <w:overflowPunct w:val="0"/>
                    <w:autoSpaceDE w:val="0"/>
                    <w:autoSpaceDN w:val="0"/>
                    <w:snapToGrid w:val="0"/>
                    <w:jc w:val="center"/>
                    <w:rPr>
                      <w14:ligatures w14:val="standardContextual"/>
                    </w:rPr>
                  </w:pPr>
                  <w:r>
                    <w:rPr>
                      <w:rFonts w:hint="eastAsia"/>
                      <w14:ligatures w14:val="standardContextual"/>
                    </w:rPr>
                    <w:t>光伏发电工程</w:t>
                  </w:r>
                </w:p>
              </w:tc>
              <w:tc>
                <w:tcPr>
                  <w:tcW w:w="3732" w:type="pct"/>
                  <w:vAlign w:val="center"/>
                </w:tcPr>
                <w:p w14:paraId="7B5F00E0">
                  <w:pPr>
                    <w:widowControl w:val="0"/>
                    <w:overflowPunct w:val="0"/>
                    <w:autoSpaceDE w:val="0"/>
                    <w:autoSpaceDN w:val="0"/>
                    <w:snapToGrid w:val="0"/>
                    <w:jc w:val="center"/>
                    <w:rPr>
                      <w14:ligatures w14:val="standardContextual"/>
                    </w:rPr>
                  </w:pPr>
                  <w:r>
                    <w:rPr>
                      <w:rFonts w:hint="eastAsia"/>
                      <w14:ligatures w14:val="standardContextual"/>
                    </w:rPr>
                    <w:t>在项目内利用屋顶、空地、停车场等区域，拟建光伏发电项目面积2.39万平方米，预计建成分布式光伏项目发电容量4.5MW。</w:t>
                  </w:r>
                </w:p>
              </w:tc>
              <w:tc>
                <w:tcPr>
                  <w:tcW w:w="485" w:type="pct"/>
                  <w:vAlign w:val="center"/>
                </w:tcPr>
                <w:p w14:paraId="30495EA0">
                  <w:pPr>
                    <w:widowControl w:val="0"/>
                    <w:overflowPunct w:val="0"/>
                    <w:autoSpaceDE w:val="0"/>
                    <w:autoSpaceDN w:val="0"/>
                    <w:snapToGrid w:val="0"/>
                    <w:jc w:val="center"/>
                    <w:rPr>
                      <w:color w:val="auto"/>
                      <w:u w:val="single"/>
                      <w14:ligatures w14:val="standardContextual"/>
                    </w:rPr>
                  </w:pPr>
                  <w:r>
                    <w:rPr>
                      <w:rFonts w:hint="eastAsia"/>
                      <w:color w:val="auto"/>
                      <w:u w:val="single"/>
                      <w14:ligatures w14:val="standardContextual"/>
                    </w:rPr>
                    <w:t>依托现有厂房</w:t>
                  </w:r>
                </w:p>
              </w:tc>
            </w:tr>
            <w:tr w14:paraId="28682F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82" w:type="pct"/>
                  <w:vMerge w:val="continue"/>
                  <w:vAlign w:val="center"/>
                </w:tcPr>
                <w:p w14:paraId="67C96DEC">
                  <w:pPr>
                    <w:widowControl w:val="0"/>
                    <w:overflowPunct w:val="0"/>
                    <w:autoSpaceDE w:val="0"/>
                    <w:autoSpaceDN w:val="0"/>
                    <w:snapToGrid w:val="0"/>
                    <w:jc w:val="center"/>
                    <w:rPr>
                      <w14:ligatures w14:val="standardContextual"/>
                    </w:rPr>
                  </w:pPr>
                </w:p>
              </w:tc>
              <w:tc>
                <w:tcPr>
                  <w:tcW w:w="501" w:type="pct"/>
                  <w:vAlign w:val="center"/>
                </w:tcPr>
                <w:p w14:paraId="358AF13E">
                  <w:pPr>
                    <w:widowControl w:val="0"/>
                    <w:overflowPunct w:val="0"/>
                    <w:autoSpaceDE w:val="0"/>
                    <w:autoSpaceDN w:val="0"/>
                    <w:snapToGrid w:val="0"/>
                    <w:jc w:val="center"/>
                    <w:rPr>
                      <w14:ligatures w14:val="standardContextual"/>
                    </w:rPr>
                  </w:pPr>
                  <w:r>
                    <w:rPr>
                      <w:rFonts w:hint="eastAsia"/>
                      <w14:ligatures w14:val="standardContextual"/>
                    </w:rPr>
                    <w:t>供热管道及生物质锅炉工程</w:t>
                  </w:r>
                </w:p>
              </w:tc>
              <w:tc>
                <w:tcPr>
                  <w:tcW w:w="3732" w:type="pct"/>
                  <w:vAlign w:val="center"/>
                </w:tcPr>
                <w:p w14:paraId="2E55B0B1">
                  <w:pPr>
                    <w:widowControl w:val="0"/>
                    <w:overflowPunct w:val="0"/>
                    <w:autoSpaceDE w:val="0"/>
                    <w:autoSpaceDN w:val="0"/>
                    <w:snapToGrid w:val="0"/>
                    <w:jc w:val="center"/>
                    <w:rPr>
                      <w14:ligatures w14:val="standardContextual"/>
                    </w:rPr>
                  </w:pPr>
                  <w:r>
                    <w:rPr>
                      <w:rFonts w:hint="eastAsia"/>
                      <w14:ligatures w14:val="standardContextual"/>
                    </w:rPr>
                    <w:t>管道起于锦绣大道与云顶大街交叉口，台湾中小企业集聚区西侧，向北沿锦绣大道经米龙街、马莱大道至本项目，管道总长度1.6公里，设计压力等级1.4M</w:t>
                  </w:r>
                  <w:r>
                    <w:rPr>
                      <w14:ligatures w14:val="standardContextual"/>
                    </w:rPr>
                    <w:t>p</w:t>
                  </w:r>
                  <w:r>
                    <w:rPr>
                      <w:rFonts w:hint="eastAsia"/>
                      <w14:ligatures w14:val="standardContextual"/>
                    </w:rPr>
                    <w:t>a，并在项目内安装4台8吨/小时生物质锅炉，生物质锅炉房占地面积约1113.42平方米，辅助蒸汽管网满足企业的用热需求。</w:t>
                  </w:r>
                </w:p>
              </w:tc>
              <w:tc>
                <w:tcPr>
                  <w:tcW w:w="485" w:type="pct"/>
                  <w:vAlign w:val="center"/>
                </w:tcPr>
                <w:p w14:paraId="22E2C18E">
                  <w:pPr>
                    <w:widowControl w:val="0"/>
                    <w:overflowPunct w:val="0"/>
                    <w:autoSpaceDE w:val="0"/>
                    <w:autoSpaceDN w:val="0"/>
                    <w:snapToGrid w:val="0"/>
                    <w:jc w:val="center"/>
                    <w:rPr>
                      <w:color w:val="auto"/>
                      <w:u w:val="single"/>
                      <w14:ligatures w14:val="standardContextual"/>
                    </w:rPr>
                  </w:pPr>
                  <w:r>
                    <w:rPr>
                      <w:rFonts w:hint="eastAsia"/>
                      <w:color w:val="auto"/>
                      <w:u w:val="single"/>
                      <w14:ligatures w14:val="standardContextual"/>
                    </w:rPr>
                    <w:t>新建锅炉房</w:t>
                  </w:r>
                </w:p>
              </w:tc>
            </w:tr>
            <w:tr w14:paraId="70A6B3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82" w:type="pct"/>
                  <w:vMerge w:val="continue"/>
                  <w:vAlign w:val="center"/>
                </w:tcPr>
                <w:p w14:paraId="4F8F19F2">
                  <w:pPr>
                    <w:widowControl w:val="0"/>
                    <w:overflowPunct w:val="0"/>
                    <w:autoSpaceDE w:val="0"/>
                    <w:autoSpaceDN w:val="0"/>
                    <w:snapToGrid w:val="0"/>
                    <w:jc w:val="center"/>
                    <w:rPr>
                      <w14:ligatures w14:val="standardContextual"/>
                    </w:rPr>
                  </w:pPr>
                </w:p>
              </w:tc>
              <w:tc>
                <w:tcPr>
                  <w:tcW w:w="501" w:type="pct"/>
                  <w:vAlign w:val="center"/>
                </w:tcPr>
                <w:p w14:paraId="3FE328F0">
                  <w:pPr>
                    <w:widowControl w:val="0"/>
                    <w:overflowPunct w:val="0"/>
                    <w:autoSpaceDE w:val="0"/>
                    <w:autoSpaceDN w:val="0"/>
                    <w:snapToGrid w:val="0"/>
                    <w:jc w:val="center"/>
                    <w:rPr>
                      <w14:ligatures w14:val="standardContextual"/>
                    </w:rPr>
                  </w:pPr>
                  <w:r>
                    <w:rPr>
                      <w:rFonts w:hint="eastAsia"/>
                      <w14:ligatures w14:val="standardContextual"/>
                    </w:rPr>
                    <w:t>仓储系统工程</w:t>
                  </w:r>
                </w:p>
              </w:tc>
              <w:tc>
                <w:tcPr>
                  <w:tcW w:w="3732" w:type="pct"/>
                  <w:vAlign w:val="center"/>
                </w:tcPr>
                <w:p w14:paraId="08A658BB">
                  <w:pPr>
                    <w:widowControl w:val="0"/>
                    <w:overflowPunct w:val="0"/>
                    <w:autoSpaceDE w:val="0"/>
                    <w:autoSpaceDN w:val="0"/>
                    <w:snapToGrid w:val="0"/>
                    <w:jc w:val="center"/>
                    <w:rPr>
                      <w14:ligatures w14:val="standardContextual"/>
                    </w:rPr>
                  </w:pPr>
                  <w:r>
                    <w:rPr>
                      <w:rFonts w:hint="eastAsia"/>
                      <w14:ligatures w14:val="standardContextual"/>
                    </w:rPr>
                    <w:t>项目(首开区)的15#标准厂房内安装10000套</w:t>
                  </w:r>
                  <w:bookmarkStart w:id="63" w:name="OLE_LINK173"/>
                  <w:r>
                    <w:rPr>
                      <w:rFonts w:hint="eastAsia"/>
                      <w14:ligatures w14:val="standardContextual"/>
                    </w:rPr>
                    <w:t>堆架货架</w:t>
                  </w:r>
                  <w:bookmarkEnd w:id="63"/>
                  <w:r>
                    <w:rPr>
                      <w:rFonts w:hint="eastAsia"/>
                      <w14:ligatures w14:val="standardContextual"/>
                    </w:rPr>
                    <w:t>，主要用于存放和管理各类重型或大宗物品</w:t>
                  </w:r>
                  <w:r>
                    <w:rPr>
                      <w:rFonts w:hint="eastAsia"/>
                      <w:color w:val="auto"/>
                      <w:u w:val="single"/>
                      <w14:ligatures w14:val="standardContextual"/>
                    </w:rPr>
                    <w:t>，</w:t>
                  </w:r>
                  <w:bookmarkStart w:id="64" w:name="OLE_LINK59"/>
                  <w:r>
                    <w:rPr>
                      <w:rFonts w:hint="eastAsia"/>
                      <w:b/>
                      <w:bCs/>
                      <w:color w:val="auto"/>
                      <w:u w:val="single"/>
                      <w14:ligatures w14:val="standardContextual"/>
                    </w:rPr>
                    <w:t>本工程仅涉及设备安装，不涉及具体运营项目</w:t>
                  </w:r>
                  <w:r>
                    <w:rPr>
                      <w:rFonts w:hint="eastAsia"/>
                      <w:color w:val="auto"/>
                      <w:u w:val="single"/>
                      <w14:ligatures w14:val="standardContextual"/>
                    </w:rPr>
                    <w:t>。</w:t>
                  </w:r>
                  <w:bookmarkEnd w:id="64"/>
                </w:p>
              </w:tc>
              <w:tc>
                <w:tcPr>
                  <w:tcW w:w="485" w:type="pct"/>
                  <w:vAlign w:val="center"/>
                </w:tcPr>
                <w:p w14:paraId="4E6F0121">
                  <w:pPr>
                    <w:widowControl w:val="0"/>
                    <w:overflowPunct w:val="0"/>
                    <w:autoSpaceDE w:val="0"/>
                    <w:autoSpaceDN w:val="0"/>
                    <w:snapToGrid w:val="0"/>
                    <w:jc w:val="center"/>
                    <w:rPr>
                      <w:color w:val="auto"/>
                      <w:u w:val="single"/>
                      <w14:ligatures w14:val="standardContextual"/>
                    </w:rPr>
                  </w:pPr>
                  <w:r>
                    <w:rPr>
                      <w:rFonts w:hint="eastAsia"/>
                      <w:color w:val="auto"/>
                      <w:u w:val="single"/>
                      <w14:ligatures w14:val="standardContextual"/>
                    </w:rPr>
                    <w:t>依托现有厂房</w:t>
                  </w:r>
                </w:p>
              </w:tc>
            </w:tr>
            <w:tr w14:paraId="6D2855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82" w:type="pct"/>
                  <w:vMerge w:val="continue"/>
                  <w:vAlign w:val="center"/>
                </w:tcPr>
                <w:p w14:paraId="1F2CE2C1">
                  <w:pPr>
                    <w:widowControl w:val="0"/>
                    <w:overflowPunct w:val="0"/>
                    <w:autoSpaceDE w:val="0"/>
                    <w:autoSpaceDN w:val="0"/>
                    <w:snapToGrid w:val="0"/>
                    <w:jc w:val="center"/>
                    <w:rPr>
                      <w14:ligatures w14:val="standardContextual"/>
                    </w:rPr>
                  </w:pPr>
                </w:p>
              </w:tc>
              <w:tc>
                <w:tcPr>
                  <w:tcW w:w="501" w:type="pct"/>
                  <w:vAlign w:val="center"/>
                </w:tcPr>
                <w:p w14:paraId="1803B984">
                  <w:pPr>
                    <w:widowControl w:val="0"/>
                    <w:overflowPunct w:val="0"/>
                    <w:autoSpaceDE w:val="0"/>
                    <w:autoSpaceDN w:val="0"/>
                    <w:snapToGrid w:val="0"/>
                    <w:jc w:val="center"/>
                    <w:rPr>
                      <w14:ligatures w14:val="standardContextual"/>
                    </w:rPr>
                  </w:pPr>
                  <w:r>
                    <w:rPr>
                      <w:rFonts w:hint="eastAsia"/>
                      <w14:ligatures w14:val="standardContextual"/>
                    </w:rPr>
                    <w:t>场地硬化工程</w:t>
                  </w:r>
                </w:p>
              </w:tc>
              <w:tc>
                <w:tcPr>
                  <w:tcW w:w="3732" w:type="pct"/>
                  <w:vAlign w:val="center"/>
                </w:tcPr>
                <w:p w14:paraId="61F0C7A8">
                  <w:pPr>
                    <w:widowControl w:val="0"/>
                    <w:overflowPunct w:val="0"/>
                    <w:autoSpaceDE w:val="0"/>
                    <w:autoSpaceDN w:val="0"/>
                    <w:snapToGrid w:val="0"/>
                    <w:jc w:val="center"/>
                    <w:rPr>
                      <w14:ligatures w14:val="standardContextual"/>
                    </w:rPr>
                  </w:pPr>
                  <w:r>
                    <w:rPr>
                      <w:rFonts w:hint="eastAsia"/>
                      <w14:ligatures w14:val="standardContextual"/>
                    </w:rPr>
                    <w:t>在项目原次开区位置拟建室外停车场地硬化面积约</w:t>
                  </w:r>
                  <w:bookmarkStart w:id="65" w:name="OLE_LINK76"/>
                  <w:r>
                    <w:rPr>
                      <w:rFonts w:hint="eastAsia"/>
                      <w14:ligatures w14:val="standardContextual"/>
                    </w:rPr>
                    <w:t>41225.49</w:t>
                  </w:r>
                  <w:bookmarkEnd w:id="65"/>
                  <w:r>
                    <w:rPr>
                      <w:rFonts w:hint="eastAsia"/>
                      <w14:ligatures w14:val="standardContextual"/>
                    </w:rPr>
                    <w:t>平方米。</w:t>
                  </w:r>
                </w:p>
              </w:tc>
              <w:tc>
                <w:tcPr>
                  <w:tcW w:w="485" w:type="pct"/>
                  <w:vAlign w:val="center"/>
                </w:tcPr>
                <w:p w14:paraId="5D0BDA4A">
                  <w:pPr>
                    <w:widowControl w:val="0"/>
                    <w:overflowPunct w:val="0"/>
                    <w:autoSpaceDE w:val="0"/>
                    <w:autoSpaceDN w:val="0"/>
                    <w:snapToGrid w:val="0"/>
                    <w:jc w:val="center"/>
                    <w:rPr>
                      <w:color w:val="auto"/>
                      <w:u w:val="single"/>
                      <w14:ligatures w14:val="standardContextual"/>
                    </w:rPr>
                  </w:pPr>
                  <w:r>
                    <w:rPr>
                      <w:rFonts w:hint="eastAsia"/>
                      <w:color w:val="auto"/>
                      <w:u w:val="single"/>
                      <w14:ligatures w14:val="standardContextual"/>
                    </w:rPr>
                    <w:t>新建</w:t>
                  </w:r>
                </w:p>
              </w:tc>
            </w:tr>
            <w:tr w14:paraId="0C6911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82" w:type="pct"/>
                  <w:vMerge w:val="continue"/>
                  <w:vAlign w:val="center"/>
                </w:tcPr>
                <w:p w14:paraId="3D9F81BA">
                  <w:pPr>
                    <w:widowControl w:val="0"/>
                    <w:overflowPunct w:val="0"/>
                    <w:autoSpaceDE w:val="0"/>
                    <w:autoSpaceDN w:val="0"/>
                    <w:snapToGrid w:val="0"/>
                    <w:jc w:val="center"/>
                    <w:rPr>
                      <w14:ligatures w14:val="standardContextual"/>
                    </w:rPr>
                  </w:pPr>
                </w:p>
              </w:tc>
              <w:tc>
                <w:tcPr>
                  <w:tcW w:w="501" w:type="pct"/>
                  <w:vAlign w:val="center"/>
                </w:tcPr>
                <w:p w14:paraId="2B40A313">
                  <w:pPr>
                    <w:widowControl w:val="0"/>
                    <w:overflowPunct w:val="0"/>
                    <w:autoSpaceDE w:val="0"/>
                    <w:autoSpaceDN w:val="0"/>
                    <w:snapToGrid w:val="0"/>
                    <w:jc w:val="center"/>
                    <w:rPr>
                      <w14:ligatures w14:val="standardContextual"/>
                    </w:rPr>
                  </w:pPr>
                  <w:r>
                    <w:rPr>
                      <w:rFonts w:hint="eastAsia"/>
                      <w14:ligatures w14:val="standardContextual"/>
                    </w:rPr>
                    <w:t>桥式起重机工程</w:t>
                  </w:r>
                </w:p>
              </w:tc>
              <w:tc>
                <w:tcPr>
                  <w:tcW w:w="3732" w:type="pct"/>
                  <w:vAlign w:val="center"/>
                </w:tcPr>
                <w:p w14:paraId="69BCD5F5">
                  <w:pPr>
                    <w:widowControl w:val="0"/>
                    <w:overflowPunct w:val="0"/>
                    <w:autoSpaceDE w:val="0"/>
                    <w:autoSpaceDN w:val="0"/>
                    <w:snapToGrid w:val="0"/>
                    <w:jc w:val="center"/>
                    <w:rPr>
                      <w14:ligatures w14:val="standardContextual"/>
                    </w:rPr>
                  </w:pPr>
                  <w:r>
                    <w:rPr>
                      <w:rFonts w:hint="eastAsia"/>
                      <w14:ligatures w14:val="standardContextual"/>
                    </w:rPr>
                    <w:t>在项目的6#、12#标准厂房内安装6台桥式起重机。</w:t>
                  </w:r>
                </w:p>
              </w:tc>
              <w:tc>
                <w:tcPr>
                  <w:tcW w:w="485" w:type="pct"/>
                  <w:vAlign w:val="center"/>
                </w:tcPr>
                <w:p w14:paraId="76A94EA2">
                  <w:pPr>
                    <w:widowControl w:val="0"/>
                    <w:overflowPunct w:val="0"/>
                    <w:autoSpaceDE w:val="0"/>
                    <w:autoSpaceDN w:val="0"/>
                    <w:snapToGrid w:val="0"/>
                    <w:jc w:val="center"/>
                    <w:rPr>
                      <w:color w:val="auto"/>
                      <w:u w:val="single"/>
                      <w14:ligatures w14:val="standardContextual"/>
                    </w:rPr>
                  </w:pPr>
                  <w:r>
                    <w:rPr>
                      <w:rFonts w:hint="eastAsia"/>
                      <w:color w:val="auto"/>
                      <w:u w:val="single"/>
                      <w14:ligatures w14:val="standardContextual"/>
                    </w:rPr>
                    <w:t>依托现有厂房</w:t>
                  </w:r>
                </w:p>
              </w:tc>
            </w:tr>
            <w:tr w14:paraId="2C0789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82" w:type="pct"/>
                  <w:vAlign w:val="center"/>
                </w:tcPr>
                <w:p w14:paraId="282BF3D8">
                  <w:pPr>
                    <w:widowControl w:val="0"/>
                    <w:overflowPunct w:val="0"/>
                    <w:autoSpaceDE w:val="0"/>
                    <w:autoSpaceDN w:val="0"/>
                    <w:snapToGrid w:val="0"/>
                    <w:jc w:val="center"/>
                    <w:rPr>
                      <w14:ligatures w14:val="standardContextual"/>
                    </w:rPr>
                  </w:pPr>
                  <w:r>
                    <w:rPr>
                      <w14:ligatures w14:val="standardContextual"/>
                    </w:rPr>
                    <w:t>储运</w:t>
                  </w:r>
                  <w:r>
                    <w:rPr>
                      <w:rFonts w:hint="eastAsia"/>
                      <w14:ligatures w14:val="standardContextual"/>
                    </w:rPr>
                    <w:t>工程</w:t>
                  </w:r>
                </w:p>
              </w:tc>
              <w:tc>
                <w:tcPr>
                  <w:tcW w:w="501" w:type="pct"/>
                  <w:vAlign w:val="center"/>
                </w:tcPr>
                <w:p w14:paraId="39366B01">
                  <w:pPr>
                    <w:widowControl w:val="0"/>
                    <w:overflowPunct w:val="0"/>
                    <w:autoSpaceDE w:val="0"/>
                    <w:autoSpaceDN w:val="0"/>
                    <w:snapToGrid w:val="0"/>
                    <w:jc w:val="center"/>
                    <w:rPr>
                      <w14:ligatures w14:val="standardContextual"/>
                    </w:rPr>
                  </w:pPr>
                  <w:r>
                    <w:rPr>
                      <w:rFonts w:hint="eastAsia"/>
                      <w14:ligatures w14:val="standardContextual"/>
                    </w:rPr>
                    <w:t>料仓</w:t>
                  </w:r>
                </w:p>
              </w:tc>
              <w:tc>
                <w:tcPr>
                  <w:tcW w:w="3732" w:type="pct"/>
                  <w:vAlign w:val="center"/>
                </w:tcPr>
                <w:p w14:paraId="4802BC88">
                  <w:pPr>
                    <w:widowControl w:val="0"/>
                    <w:overflowPunct w:val="0"/>
                    <w:autoSpaceDE w:val="0"/>
                    <w:autoSpaceDN w:val="0"/>
                    <w:snapToGrid w:val="0"/>
                    <w:jc w:val="center"/>
                    <w:rPr>
                      <w14:ligatures w14:val="standardContextual"/>
                    </w:rPr>
                  </w:pPr>
                  <w:bookmarkStart w:id="66" w:name="OLE_LINK171"/>
                  <w:r>
                    <w:rPr>
                      <w:rFonts w:hint="eastAsia"/>
                      <w14:ligatures w14:val="standardContextual"/>
                    </w:rPr>
                    <w:t>1F，位于锅炉房内，</w:t>
                  </w:r>
                  <w:bookmarkEnd w:id="66"/>
                  <w:r>
                    <w:rPr>
                      <w:rFonts w:hint="eastAsia"/>
                      <w14:ligatures w14:val="standardContextual"/>
                    </w:rPr>
                    <w:t>分别于锅炉房东西两侧设置一个料仓，总面积约80㎡，</w:t>
                  </w:r>
                  <w:r>
                    <w:rPr>
                      <w:rFonts w:hint="eastAsia"/>
                      <w:color w:val="auto"/>
                      <w:u w:val="single"/>
                      <w14:ligatures w14:val="standardContextual"/>
                    </w:rPr>
                    <w:t>用于存放燃料（生物质成型颗粒）。</w:t>
                  </w:r>
                </w:p>
              </w:tc>
              <w:tc>
                <w:tcPr>
                  <w:tcW w:w="485" w:type="pct"/>
                  <w:vAlign w:val="center"/>
                </w:tcPr>
                <w:p w14:paraId="58D9542A">
                  <w:pPr>
                    <w:widowControl w:val="0"/>
                    <w:overflowPunct w:val="0"/>
                    <w:autoSpaceDE w:val="0"/>
                    <w:autoSpaceDN w:val="0"/>
                    <w:snapToGrid w:val="0"/>
                    <w:jc w:val="center"/>
                    <w:rPr>
                      <w:color w:val="auto"/>
                      <w:u w:val="single"/>
                      <w14:ligatures w14:val="standardContextual"/>
                    </w:rPr>
                  </w:pPr>
                  <w:r>
                    <w:rPr>
                      <w:rFonts w:hint="eastAsia"/>
                      <w:color w:val="auto"/>
                      <w:u w:val="single"/>
                      <w14:ligatures w14:val="standardContextual"/>
                    </w:rPr>
                    <w:t>新建</w:t>
                  </w:r>
                </w:p>
              </w:tc>
            </w:tr>
            <w:tr w14:paraId="639484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82" w:type="pct"/>
                  <w:vMerge w:val="restart"/>
                  <w:vAlign w:val="center"/>
                </w:tcPr>
                <w:p w14:paraId="1E0C3639">
                  <w:pPr>
                    <w:widowControl w:val="0"/>
                    <w:overflowPunct w:val="0"/>
                    <w:autoSpaceDE w:val="0"/>
                    <w:autoSpaceDN w:val="0"/>
                    <w:snapToGrid w:val="0"/>
                    <w:jc w:val="center"/>
                    <w:rPr>
                      <w14:ligatures w14:val="standardContextual"/>
                    </w:rPr>
                  </w:pPr>
                  <w:r>
                    <w:rPr>
                      <w14:ligatures w14:val="standardContextual"/>
                    </w:rPr>
                    <w:t>公用工程</w:t>
                  </w:r>
                </w:p>
              </w:tc>
              <w:tc>
                <w:tcPr>
                  <w:tcW w:w="501" w:type="pct"/>
                  <w:vAlign w:val="center"/>
                </w:tcPr>
                <w:p w14:paraId="5588F79B">
                  <w:pPr>
                    <w:widowControl w:val="0"/>
                    <w:overflowPunct w:val="0"/>
                    <w:autoSpaceDE w:val="0"/>
                    <w:autoSpaceDN w:val="0"/>
                    <w:snapToGrid w:val="0"/>
                    <w:jc w:val="center"/>
                    <w:rPr>
                      <w14:ligatures w14:val="standardContextual"/>
                    </w:rPr>
                  </w:pPr>
                  <w:r>
                    <w:rPr>
                      <w:rFonts w:hint="eastAsia"/>
                      <w14:ligatures w14:val="standardContextual"/>
                    </w:rPr>
                    <w:t>供水工程</w:t>
                  </w:r>
                </w:p>
              </w:tc>
              <w:tc>
                <w:tcPr>
                  <w:tcW w:w="3732" w:type="pct"/>
                  <w:vAlign w:val="center"/>
                </w:tcPr>
                <w:p w14:paraId="028FD96B">
                  <w:pPr>
                    <w:widowControl w:val="0"/>
                    <w:overflowPunct w:val="0"/>
                    <w:autoSpaceDE w:val="0"/>
                    <w:autoSpaceDN w:val="0"/>
                    <w:snapToGrid w:val="0"/>
                    <w:jc w:val="center"/>
                    <w:rPr>
                      <w14:ligatures w14:val="standardContextual"/>
                    </w:rPr>
                  </w:pPr>
                  <w:r>
                    <w:rPr>
                      <w:rFonts w:hint="eastAsia"/>
                      <w14:ligatures w14:val="standardContextual"/>
                    </w:rPr>
                    <w:t>市政管网</w:t>
                  </w:r>
                </w:p>
              </w:tc>
              <w:tc>
                <w:tcPr>
                  <w:tcW w:w="485" w:type="pct"/>
                  <w:vAlign w:val="center"/>
                </w:tcPr>
                <w:p w14:paraId="373D23BA">
                  <w:pPr>
                    <w:widowControl w:val="0"/>
                    <w:overflowPunct w:val="0"/>
                    <w:autoSpaceDE w:val="0"/>
                    <w:autoSpaceDN w:val="0"/>
                    <w:snapToGrid w:val="0"/>
                    <w:jc w:val="center"/>
                    <w:rPr>
                      <w:color w:val="auto"/>
                      <w:u w:val="single"/>
                      <w14:ligatures w14:val="standardContextual"/>
                    </w:rPr>
                  </w:pPr>
                  <w:r>
                    <w:rPr>
                      <w:rFonts w:hint="eastAsia"/>
                      <w:color w:val="auto"/>
                      <w:u w:val="single"/>
                      <w14:ligatures w14:val="standardContextual"/>
                    </w:rPr>
                    <w:t>依托现有</w:t>
                  </w:r>
                </w:p>
              </w:tc>
            </w:tr>
            <w:tr w14:paraId="6228E6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82" w:type="pct"/>
                  <w:vMerge w:val="continue"/>
                  <w:vAlign w:val="center"/>
                </w:tcPr>
                <w:p w14:paraId="3F2D3B16">
                  <w:pPr>
                    <w:widowControl w:val="0"/>
                    <w:overflowPunct w:val="0"/>
                    <w:autoSpaceDE w:val="0"/>
                    <w:autoSpaceDN w:val="0"/>
                    <w:snapToGrid w:val="0"/>
                    <w:jc w:val="center"/>
                    <w:rPr>
                      <w14:ligatures w14:val="standardContextual"/>
                    </w:rPr>
                  </w:pPr>
                </w:p>
              </w:tc>
              <w:tc>
                <w:tcPr>
                  <w:tcW w:w="501" w:type="pct"/>
                  <w:vAlign w:val="center"/>
                </w:tcPr>
                <w:p w14:paraId="4540950E">
                  <w:pPr>
                    <w:widowControl w:val="0"/>
                    <w:overflowPunct w:val="0"/>
                    <w:autoSpaceDE w:val="0"/>
                    <w:autoSpaceDN w:val="0"/>
                    <w:snapToGrid w:val="0"/>
                    <w:jc w:val="center"/>
                    <w:rPr>
                      <w14:ligatures w14:val="standardContextual"/>
                    </w:rPr>
                  </w:pPr>
                  <w:r>
                    <w:rPr>
                      <w:rFonts w:hint="eastAsia"/>
                      <w14:ligatures w14:val="standardContextual"/>
                    </w:rPr>
                    <w:t>排水工程</w:t>
                  </w:r>
                </w:p>
              </w:tc>
              <w:tc>
                <w:tcPr>
                  <w:tcW w:w="3732" w:type="pct"/>
                  <w:vAlign w:val="center"/>
                </w:tcPr>
                <w:p w14:paraId="59A320A9">
                  <w:pPr>
                    <w:widowControl w:val="0"/>
                    <w:overflowPunct w:val="0"/>
                    <w:autoSpaceDE w:val="0"/>
                    <w:autoSpaceDN w:val="0"/>
                    <w:snapToGrid w:val="0"/>
                    <w:jc w:val="center"/>
                    <w:rPr>
                      <w14:ligatures w14:val="standardContextual"/>
                    </w:rPr>
                  </w:pPr>
                  <w:bookmarkStart w:id="67" w:name="OLE_LINK183"/>
                  <w:r>
                    <w:rPr>
                      <w:rFonts w:hint="eastAsia"/>
                      <w14:ligatures w14:val="standardContextual"/>
                    </w:rPr>
                    <w:t>本项目排水为雨污分流，园区设有雨污水管道。</w:t>
                  </w:r>
                  <w:bookmarkEnd w:id="67"/>
                </w:p>
              </w:tc>
              <w:tc>
                <w:tcPr>
                  <w:tcW w:w="485" w:type="pct"/>
                  <w:vAlign w:val="center"/>
                </w:tcPr>
                <w:p w14:paraId="1FFC42EF">
                  <w:pPr>
                    <w:widowControl w:val="0"/>
                    <w:overflowPunct w:val="0"/>
                    <w:autoSpaceDE w:val="0"/>
                    <w:autoSpaceDN w:val="0"/>
                    <w:snapToGrid w:val="0"/>
                    <w:jc w:val="center"/>
                    <w:rPr>
                      <w:color w:val="auto"/>
                      <w:u w:val="single"/>
                      <w14:ligatures w14:val="standardContextual"/>
                    </w:rPr>
                  </w:pPr>
                  <w:r>
                    <w:rPr>
                      <w:rFonts w:hint="eastAsia"/>
                      <w:color w:val="auto"/>
                      <w:u w:val="single"/>
                      <w14:ligatures w14:val="standardContextual"/>
                    </w:rPr>
                    <w:t>依托现有</w:t>
                  </w:r>
                </w:p>
              </w:tc>
            </w:tr>
            <w:tr w14:paraId="5CFB59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82" w:type="pct"/>
                  <w:vMerge w:val="continue"/>
                  <w:vAlign w:val="center"/>
                </w:tcPr>
                <w:p w14:paraId="600B949C">
                  <w:pPr>
                    <w:widowControl w:val="0"/>
                    <w:overflowPunct w:val="0"/>
                    <w:autoSpaceDE w:val="0"/>
                    <w:autoSpaceDN w:val="0"/>
                    <w:snapToGrid w:val="0"/>
                    <w:jc w:val="center"/>
                    <w:rPr>
                      <w14:ligatures w14:val="standardContextual"/>
                    </w:rPr>
                  </w:pPr>
                </w:p>
              </w:tc>
              <w:tc>
                <w:tcPr>
                  <w:tcW w:w="501" w:type="pct"/>
                  <w:vAlign w:val="center"/>
                </w:tcPr>
                <w:p w14:paraId="37511930">
                  <w:pPr>
                    <w:widowControl w:val="0"/>
                    <w:overflowPunct w:val="0"/>
                    <w:autoSpaceDE w:val="0"/>
                    <w:autoSpaceDN w:val="0"/>
                    <w:snapToGrid w:val="0"/>
                    <w:jc w:val="center"/>
                    <w:rPr>
                      <w14:ligatures w14:val="standardContextual"/>
                    </w:rPr>
                  </w:pPr>
                  <w:r>
                    <w:rPr>
                      <w14:ligatures w14:val="standardContextual"/>
                    </w:rPr>
                    <w:t>供</w:t>
                  </w:r>
                  <w:r>
                    <w:rPr>
                      <w:rFonts w:hint="eastAsia"/>
                      <w14:ligatures w14:val="standardContextual"/>
                    </w:rPr>
                    <w:t>热</w:t>
                  </w:r>
                  <w:r>
                    <w:rPr>
                      <w14:ligatures w14:val="standardContextual"/>
                    </w:rPr>
                    <w:t>系统</w:t>
                  </w:r>
                </w:p>
              </w:tc>
              <w:tc>
                <w:tcPr>
                  <w:tcW w:w="3732" w:type="pct"/>
                  <w:vAlign w:val="center"/>
                </w:tcPr>
                <w:p w14:paraId="3D400B39">
                  <w:pPr>
                    <w:widowControl w:val="0"/>
                    <w:overflowPunct w:val="0"/>
                    <w:autoSpaceDE w:val="0"/>
                    <w:autoSpaceDN w:val="0"/>
                    <w:snapToGrid w:val="0"/>
                    <w:jc w:val="center"/>
                    <w:rPr>
                      <w14:ligatures w14:val="standardContextual"/>
                    </w:rPr>
                  </w:pPr>
                  <w:r>
                    <w:rPr>
                      <w:rFonts w:hint="eastAsia"/>
                      <w14:ligatures w14:val="standardContextual"/>
                    </w:rPr>
                    <w:t>冬季供暖采取空调系统</w:t>
                  </w:r>
                </w:p>
              </w:tc>
              <w:tc>
                <w:tcPr>
                  <w:tcW w:w="485" w:type="pct"/>
                  <w:vAlign w:val="center"/>
                </w:tcPr>
                <w:p w14:paraId="4BCE8B75">
                  <w:pPr>
                    <w:widowControl w:val="0"/>
                    <w:overflowPunct w:val="0"/>
                    <w:autoSpaceDE w:val="0"/>
                    <w:autoSpaceDN w:val="0"/>
                    <w:snapToGrid w:val="0"/>
                    <w:jc w:val="center"/>
                    <w:rPr>
                      <w:color w:val="auto"/>
                      <w:u w:val="single"/>
                      <w14:ligatures w14:val="standardContextual"/>
                    </w:rPr>
                  </w:pPr>
                  <w:r>
                    <w:rPr>
                      <w:rFonts w:hint="eastAsia"/>
                      <w:color w:val="auto"/>
                      <w:u w:val="single"/>
                      <w14:ligatures w14:val="standardContextual"/>
                    </w:rPr>
                    <w:t>依托现有</w:t>
                  </w:r>
                </w:p>
              </w:tc>
            </w:tr>
            <w:tr w14:paraId="28708A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82" w:type="pct"/>
                  <w:vMerge w:val="continue"/>
                  <w:vAlign w:val="center"/>
                </w:tcPr>
                <w:p w14:paraId="31B11458">
                  <w:pPr>
                    <w:widowControl w:val="0"/>
                    <w:overflowPunct w:val="0"/>
                    <w:autoSpaceDE w:val="0"/>
                    <w:autoSpaceDN w:val="0"/>
                    <w:snapToGrid w:val="0"/>
                    <w:jc w:val="center"/>
                    <w:rPr>
                      <w14:ligatures w14:val="standardContextual"/>
                    </w:rPr>
                  </w:pPr>
                </w:p>
              </w:tc>
              <w:tc>
                <w:tcPr>
                  <w:tcW w:w="501" w:type="pct"/>
                  <w:vAlign w:val="center"/>
                </w:tcPr>
                <w:p w14:paraId="71664C02">
                  <w:pPr>
                    <w:widowControl w:val="0"/>
                    <w:overflowPunct w:val="0"/>
                    <w:autoSpaceDE w:val="0"/>
                    <w:autoSpaceDN w:val="0"/>
                    <w:snapToGrid w:val="0"/>
                    <w:jc w:val="center"/>
                    <w:rPr>
                      <w14:ligatures w14:val="standardContextual"/>
                    </w:rPr>
                  </w:pPr>
                  <w:r>
                    <w:rPr>
                      <w14:ligatures w14:val="standardContextual"/>
                    </w:rPr>
                    <w:t>供电系统</w:t>
                  </w:r>
                </w:p>
              </w:tc>
              <w:tc>
                <w:tcPr>
                  <w:tcW w:w="3732" w:type="pct"/>
                  <w:vAlign w:val="center"/>
                </w:tcPr>
                <w:p w14:paraId="7C7ED2F9">
                  <w:pPr>
                    <w:widowControl w:val="0"/>
                    <w:overflowPunct w:val="0"/>
                    <w:autoSpaceDE w:val="0"/>
                    <w:autoSpaceDN w:val="0"/>
                    <w:snapToGrid w:val="0"/>
                    <w:jc w:val="center"/>
                    <w:rPr>
                      <w14:ligatures w14:val="standardContextual"/>
                    </w:rPr>
                  </w:pPr>
                  <w:r>
                    <w:rPr>
                      <w:rFonts w:hint="eastAsia"/>
                      <w14:ligatures w14:val="standardContextual"/>
                    </w:rPr>
                    <w:t>市政</w:t>
                  </w:r>
                  <w:r>
                    <w:rPr>
                      <w14:ligatures w14:val="standardContextual"/>
                    </w:rPr>
                    <w:t>供电</w:t>
                  </w:r>
                </w:p>
              </w:tc>
              <w:tc>
                <w:tcPr>
                  <w:tcW w:w="485" w:type="pct"/>
                  <w:vAlign w:val="center"/>
                </w:tcPr>
                <w:p w14:paraId="2E5A2011">
                  <w:pPr>
                    <w:widowControl w:val="0"/>
                    <w:overflowPunct w:val="0"/>
                    <w:autoSpaceDE w:val="0"/>
                    <w:autoSpaceDN w:val="0"/>
                    <w:snapToGrid w:val="0"/>
                    <w:jc w:val="center"/>
                    <w:rPr>
                      <w:color w:val="auto"/>
                      <w:u w:val="single"/>
                      <w14:ligatures w14:val="standardContextual"/>
                    </w:rPr>
                  </w:pPr>
                  <w:r>
                    <w:rPr>
                      <w:rFonts w:hint="eastAsia"/>
                      <w:color w:val="auto"/>
                      <w:u w:val="single"/>
                      <w14:ligatures w14:val="standardContextual"/>
                    </w:rPr>
                    <w:t>依托现有</w:t>
                  </w:r>
                </w:p>
              </w:tc>
            </w:tr>
            <w:tr w14:paraId="5785D3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82" w:type="pct"/>
                  <w:vMerge w:val="restart"/>
                  <w:vAlign w:val="center"/>
                </w:tcPr>
                <w:p w14:paraId="0071B399">
                  <w:pPr>
                    <w:widowControl w:val="0"/>
                    <w:overflowPunct w:val="0"/>
                    <w:autoSpaceDE w:val="0"/>
                    <w:autoSpaceDN w:val="0"/>
                    <w:snapToGrid w:val="0"/>
                    <w:jc w:val="center"/>
                    <w:rPr>
                      <w14:ligatures w14:val="standardContextual"/>
                    </w:rPr>
                  </w:pPr>
                  <w:r>
                    <w:rPr>
                      <w14:ligatures w14:val="standardContextual"/>
                    </w:rPr>
                    <w:t>环保工程</w:t>
                  </w:r>
                </w:p>
              </w:tc>
              <w:tc>
                <w:tcPr>
                  <w:tcW w:w="501" w:type="pct"/>
                  <w:vAlign w:val="center"/>
                </w:tcPr>
                <w:p w14:paraId="2503A07E">
                  <w:pPr>
                    <w:widowControl w:val="0"/>
                    <w:overflowPunct w:val="0"/>
                    <w:autoSpaceDE w:val="0"/>
                    <w:autoSpaceDN w:val="0"/>
                    <w:snapToGrid w:val="0"/>
                    <w:jc w:val="center"/>
                    <w:rPr>
                      <w14:ligatures w14:val="standardContextual"/>
                    </w:rPr>
                  </w:pPr>
                  <w:r>
                    <w:rPr>
                      <w14:ligatures w14:val="standardContextual"/>
                    </w:rPr>
                    <w:t>废水治理</w:t>
                  </w:r>
                </w:p>
              </w:tc>
              <w:tc>
                <w:tcPr>
                  <w:tcW w:w="3732" w:type="pct"/>
                  <w:vAlign w:val="center"/>
                </w:tcPr>
                <w:p w14:paraId="452FD832">
                  <w:pPr>
                    <w:widowControl w:val="0"/>
                    <w:overflowPunct w:val="0"/>
                    <w:autoSpaceDE w:val="0"/>
                    <w:autoSpaceDN w:val="0"/>
                    <w:snapToGrid w:val="0"/>
                    <w:jc w:val="left"/>
                    <w:rPr>
                      <w14:ligatures w14:val="standardContextual"/>
                    </w:rPr>
                  </w:pPr>
                  <w:bookmarkStart w:id="68" w:name="OLE_LINK184"/>
                  <w:r>
                    <w:rPr>
                      <w:rFonts w:hint="eastAsia"/>
                      <w14:ligatures w14:val="standardContextual"/>
                    </w:rPr>
                    <w:t>项目生产废水主要为W1软水制备废水、W2锅炉排污水。生产废水直接经园区污水管网进入大榄坪污水处理厂处理，生活污水经化粪池处理后经园区污水管网进入大榄坪污水处理厂处理。</w:t>
                  </w:r>
                  <w:bookmarkEnd w:id="68"/>
                </w:p>
              </w:tc>
              <w:tc>
                <w:tcPr>
                  <w:tcW w:w="485" w:type="pct"/>
                  <w:vAlign w:val="center"/>
                </w:tcPr>
                <w:p w14:paraId="0266F018">
                  <w:pPr>
                    <w:widowControl w:val="0"/>
                    <w:overflowPunct w:val="0"/>
                    <w:autoSpaceDE w:val="0"/>
                    <w:autoSpaceDN w:val="0"/>
                    <w:snapToGrid w:val="0"/>
                    <w:jc w:val="left"/>
                    <w:rPr>
                      <w:color w:val="auto"/>
                      <w:u w:val="single"/>
                      <w14:ligatures w14:val="standardContextual"/>
                    </w:rPr>
                  </w:pPr>
                  <w:r>
                    <w:rPr>
                      <w:rFonts w:hint="eastAsia"/>
                      <w:color w:val="auto"/>
                      <w:u w:val="single"/>
                      <w14:ligatures w14:val="standardContextual"/>
                    </w:rPr>
                    <w:t>依托现有管网</w:t>
                  </w:r>
                </w:p>
              </w:tc>
            </w:tr>
            <w:tr w14:paraId="47F6F1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82" w:type="pct"/>
                  <w:vMerge w:val="continue"/>
                  <w:vAlign w:val="center"/>
                </w:tcPr>
                <w:p w14:paraId="441211EE">
                  <w:pPr>
                    <w:widowControl w:val="0"/>
                    <w:overflowPunct w:val="0"/>
                    <w:autoSpaceDE w:val="0"/>
                    <w:autoSpaceDN w:val="0"/>
                    <w:snapToGrid w:val="0"/>
                    <w:jc w:val="center"/>
                    <w:rPr>
                      <w14:ligatures w14:val="standardContextual"/>
                    </w:rPr>
                  </w:pPr>
                </w:p>
              </w:tc>
              <w:tc>
                <w:tcPr>
                  <w:tcW w:w="501" w:type="pct"/>
                  <w:vAlign w:val="center"/>
                </w:tcPr>
                <w:p w14:paraId="0446B068">
                  <w:pPr>
                    <w:widowControl w:val="0"/>
                    <w:overflowPunct w:val="0"/>
                    <w:autoSpaceDE w:val="0"/>
                    <w:autoSpaceDN w:val="0"/>
                    <w:snapToGrid w:val="0"/>
                    <w:jc w:val="center"/>
                    <w:rPr>
                      <w14:ligatures w14:val="standardContextual"/>
                    </w:rPr>
                  </w:pPr>
                  <w:r>
                    <w:rPr>
                      <w14:ligatures w14:val="standardContextual"/>
                    </w:rPr>
                    <w:t>废气治理</w:t>
                  </w:r>
                </w:p>
              </w:tc>
              <w:tc>
                <w:tcPr>
                  <w:tcW w:w="3732" w:type="pct"/>
                  <w:vAlign w:val="center"/>
                </w:tcPr>
                <w:p w14:paraId="3CF617AC">
                  <w:pPr>
                    <w:widowControl w:val="0"/>
                    <w:overflowPunct w:val="0"/>
                    <w:autoSpaceDE w:val="0"/>
                    <w:autoSpaceDN w:val="0"/>
                    <w:snapToGrid w:val="0"/>
                    <w:jc w:val="center"/>
                    <w:rPr>
                      <w14:ligatures w14:val="standardContextual"/>
                    </w:rPr>
                  </w:pPr>
                  <w:bookmarkStart w:id="69" w:name="OLE_LINK282"/>
                  <w:r>
                    <w:rPr>
                      <w:rFonts w:hint="eastAsia"/>
                      <w14:ligatures w14:val="standardContextual"/>
                    </w:rPr>
                    <w:t>生物质锅炉燃烧废气</w:t>
                  </w:r>
                  <w:bookmarkEnd w:id="69"/>
                  <w:r>
                    <w:rPr>
                      <w:rFonts w:hint="eastAsia"/>
                      <w14:ligatures w14:val="standardContextual"/>
                    </w:rPr>
                    <w:t>采用“低氮燃烧+多管旋风除尘+布袋除尘”处理达标后，由1根45m高的排气筒排放。</w:t>
                  </w:r>
                </w:p>
              </w:tc>
              <w:tc>
                <w:tcPr>
                  <w:tcW w:w="485" w:type="pct"/>
                  <w:vAlign w:val="center"/>
                </w:tcPr>
                <w:p w14:paraId="4B3C5381">
                  <w:pPr>
                    <w:widowControl w:val="0"/>
                    <w:overflowPunct w:val="0"/>
                    <w:autoSpaceDE w:val="0"/>
                    <w:autoSpaceDN w:val="0"/>
                    <w:snapToGrid w:val="0"/>
                    <w:jc w:val="center"/>
                    <w:rPr>
                      <w:color w:val="auto"/>
                      <w:u w:val="single"/>
                      <w14:ligatures w14:val="standardContextual"/>
                    </w:rPr>
                  </w:pPr>
                  <w:r>
                    <w:rPr>
                      <w:rFonts w:hint="eastAsia"/>
                      <w:color w:val="auto"/>
                      <w:u w:val="single"/>
                      <w14:ligatures w14:val="standardContextual"/>
                    </w:rPr>
                    <w:t>新建</w:t>
                  </w:r>
                </w:p>
              </w:tc>
            </w:tr>
            <w:tr w14:paraId="0FBF9F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82" w:type="pct"/>
                  <w:vMerge w:val="continue"/>
                  <w:vAlign w:val="center"/>
                </w:tcPr>
                <w:p w14:paraId="678D90CC">
                  <w:pPr>
                    <w:widowControl w:val="0"/>
                    <w:overflowPunct w:val="0"/>
                    <w:autoSpaceDE w:val="0"/>
                    <w:autoSpaceDN w:val="0"/>
                    <w:snapToGrid w:val="0"/>
                    <w:jc w:val="center"/>
                    <w:rPr>
                      <w14:ligatures w14:val="standardContextual"/>
                    </w:rPr>
                  </w:pPr>
                </w:p>
              </w:tc>
              <w:tc>
                <w:tcPr>
                  <w:tcW w:w="501" w:type="pct"/>
                  <w:vAlign w:val="center"/>
                </w:tcPr>
                <w:p w14:paraId="3CF8CE15">
                  <w:pPr>
                    <w:widowControl w:val="0"/>
                    <w:overflowPunct w:val="0"/>
                    <w:autoSpaceDE w:val="0"/>
                    <w:autoSpaceDN w:val="0"/>
                    <w:snapToGrid w:val="0"/>
                    <w:jc w:val="center"/>
                    <w:rPr>
                      <w14:ligatures w14:val="standardContextual"/>
                    </w:rPr>
                  </w:pPr>
                  <w:r>
                    <w:rPr>
                      <w14:ligatures w14:val="standardContextual"/>
                    </w:rPr>
                    <w:t>噪声治理</w:t>
                  </w:r>
                </w:p>
              </w:tc>
              <w:tc>
                <w:tcPr>
                  <w:tcW w:w="3732" w:type="pct"/>
                  <w:vAlign w:val="center"/>
                </w:tcPr>
                <w:p w14:paraId="3006CBA7">
                  <w:pPr>
                    <w:widowControl w:val="0"/>
                    <w:overflowPunct w:val="0"/>
                    <w:autoSpaceDE w:val="0"/>
                    <w:autoSpaceDN w:val="0"/>
                    <w:snapToGrid w:val="0"/>
                    <w:jc w:val="center"/>
                    <w:rPr>
                      <w14:ligatures w14:val="standardContextual"/>
                    </w:rPr>
                  </w:pPr>
                  <w:r>
                    <w:rPr>
                      <w:rFonts w:hint="eastAsia"/>
                      <w14:ligatures w14:val="standardContextual"/>
                    </w:rPr>
                    <w:t>消声、吸声、隔声、减震等</w:t>
                  </w:r>
                  <w:r>
                    <w:rPr>
                      <w14:ligatures w14:val="standardContextual"/>
                    </w:rPr>
                    <w:t>措施</w:t>
                  </w:r>
                </w:p>
              </w:tc>
              <w:tc>
                <w:tcPr>
                  <w:tcW w:w="485" w:type="pct"/>
                  <w:vAlign w:val="center"/>
                </w:tcPr>
                <w:p w14:paraId="46BADBC4">
                  <w:pPr>
                    <w:widowControl w:val="0"/>
                    <w:overflowPunct w:val="0"/>
                    <w:autoSpaceDE w:val="0"/>
                    <w:autoSpaceDN w:val="0"/>
                    <w:snapToGrid w:val="0"/>
                    <w:jc w:val="center"/>
                    <w:rPr>
                      <w:color w:val="auto"/>
                      <w:u w:val="single"/>
                      <w14:ligatures w14:val="standardContextual"/>
                    </w:rPr>
                  </w:pPr>
                  <w:r>
                    <w:rPr>
                      <w:rFonts w:hint="eastAsia"/>
                      <w:color w:val="auto"/>
                      <w:u w:val="single"/>
                      <w14:ligatures w14:val="standardContextual"/>
                    </w:rPr>
                    <w:t>新建</w:t>
                  </w:r>
                </w:p>
              </w:tc>
            </w:tr>
            <w:tr w14:paraId="5BAF78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82" w:type="pct"/>
                  <w:vMerge w:val="continue"/>
                  <w:vAlign w:val="center"/>
                </w:tcPr>
                <w:p w14:paraId="454B906A">
                  <w:pPr>
                    <w:widowControl w:val="0"/>
                    <w:overflowPunct w:val="0"/>
                    <w:autoSpaceDE w:val="0"/>
                    <w:autoSpaceDN w:val="0"/>
                    <w:snapToGrid w:val="0"/>
                    <w:jc w:val="center"/>
                    <w:rPr>
                      <w14:ligatures w14:val="standardContextual"/>
                    </w:rPr>
                  </w:pPr>
                </w:p>
              </w:tc>
              <w:tc>
                <w:tcPr>
                  <w:tcW w:w="501" w:type="pct"/>
                  <w:vAlign w:val="center"/>
                </w:tcPr>
                <w:p w14:paraId="7EF01C61">
                  <w:pPr>
                    <w:widowControl w:val="0"/>
                    <w:overflowPunct w:val="0"/>
                    <w:autoSpaceDE w:val="0"/>
                    <w:autoSpaceDN w:val="0"/>
                    <w:snapToGrid w:val="0"/>
                    <w:jc w:val="center"/>
                    <w:rPr>
                      <w14:ligatures w14:val="standardContextual"/>
                    </w:rPr>
                  </w:pPr>
                  <w:r>
                    <w:rPr>
                      <w14:ligatures w14:val="standardContextual"/>
                    </w:rPr>
                    <w:t>固废治理</w:t>
                  </w:r>
                </w:p>
              </w:tc>
              <w:tc>
                <w:tcPr>
                  <w:tcW w:w="3732" w:type="pct"/>
                  <w:vAlign w:val="center"/>
                </w:tcPr>
                <w:p w14:paraId="1546B29A">
                  <w:pPr>
                    <w:widowControl w:val="0"/>
                    <w:overflowPunct w:val="0"/>
                    <w:autoSpaceDE w:val="0"/>
                    <w:autoSpaceDN w:val="0"/>
                    <w:snapToGrid w:val="0"/>
                    <w:jc w:val="left"/>
                    <w:rPr>
                      <w14:ligatures w14:val="standardContextual"/>
                    </w:rPr>
                  </w:pPr>
                  <w:r>
                    <w:rPr>
                      <w:rFonts w:hint="eastAsia"/>
                      <w14:ligatures w14:val="standardContextual"/>
                    </w:rPr>
                    <w:t>一般固体废物：</w:t>
                  </w:r>
                  <w:r>
                    <w:rPr>
                      <w:rFonts w:hint="eastAsia"/>
                      <w:color w:val="auto"/>
                      <w:u w:val="single"/>
                      <w14:ligatures w14:val="standardContextual"/>
                    </w:rPr>
                    <w:t>暂存于灰渣间（80m</w:t>
                  </w:r>
                  <w:r>
                    <w:rPr>
                      <w:rFonts w:hint="eastAsia"/>
                      <w:color w:val="auto"/>
                      <w:u w:val="single"/>
                      <w:vertAlign w:val="superscript"/>
                      <w14:ligatures w14:val="standardContextual"/>
                    </w:rPr>
                    <w:t>2</w:t>
                  </w:r>
                  <w:r>
                    <w:rPr>
                      <w:rFonts w:hint="eastAsia"/>
                      <w:color w:val="auto"/>
                      <w:u w:val="single"/>
                      <w14:ligatures w14:val="standardContextual"/>
                    </w:rPr>
                    <w:t>），S1除尘灰、S2炉渣收集后外运做农肥；</w:t>
                  </w:r>
                  <w:r>
                    <w:rPr>
                      <w:rFonts w:hint="eastAsia"/>
                      <w14:ligatures w14:val="standardContextual"/>
                    </w:rPr>
                    <w:t>S3废离子交换树脂、S4废布袋外售综合利用。</w:t>
                  </w:r>
                </w:p>
                <w:p w14:paraId="162B9DA4">
                  <w:pPr>
                    <w:widowControl w:val="0"/>
                    <w:overflowPunct w:val="0"/>
                    <w:autoSpaceDE w:val="0"/>
                    <w:autoSpaceDN w:val="0"/>
                    <w:snapToGrid w:val="0"/>
                    <w:jc w:val="left"/>
                    <w:rPr>
                      <w14:ligatures w14:val="standardContextual"/>
                    </w:rPr>
                  </w:pPr>
                  <w:r>
                    <w:rPr>
                      <w:rFonts w:hint="eastAsia"/>
                      <w14:ligatures w14:val="standardContextual"/>
                    </w:rPr>
                    <w:t>危险废物：S5废润滑油及废油桶</w:t>
                  </w:r>
                  <w:bookmarkStart w:id="70" w:name="OLE_LINK24"/>
                  <w:r>
                    <w:rPr>
                      <w:rFonts w:hint="eastAsia"/>
                      <w:color w:val="auto"/>
                      <w:u w:val="single"/>
                      <w14:ligatures w14:val="standardContextual"/>
                    </w:rPr>
                    <w:t>、S6废含油抹布，收集后暂存于危险废物贮存库，</w:t>
                  </w:r>
                  <w:r>
                    <w:rPr>
                      <w:rFonts w:hint="eastAsia"/>
                      <w14:ligatures w14:val="standardContextual"/>
                    </w:rPr>
                    <w:t>定期委托有资质单位处置。</w:t>
                  </w:r>
                  <w:bookmarkEnd w:id="70"/>
                </w:p>
                <w:p w14:paraId="5C7DA854">
                  <w:pPr>
                    <w:widowControl w:val="0"/>
                    <w:overflowPunct w:val="0"/>
                    <w:autoSpaceDE w:val="0"/>
                    <w:autoSpaceDN w:val="0"/>
                    <w:snapToGrid w:val="0"/>
                    <w:jc w:val="left"/>
                    <w:rPr>
                      <w14:ligatures w14:val="standardContextual"/>
                    </w:rPr>
                  </w:pPr>
                  <w:r>
                    <w:rPr>
                      <w:rFonts w:hint="eastAsia"/>
                      <w14:ligatures w14:val="standardContextual"/>
                    </w:rPr>
                    <w:t>生活垃圾：交由环卫部门处置。</w:t>
                  </w:r>
                </w:p>
              </w:tc>
              <w:tc>
                <w:tcPr>
                  <w:tcW w:w="485" w:type="pct"/>
                  <w:vAlign w:val="center"/>
                </w:tcPr>
                <w:p w14:paraId="21DB01AB">
                  <w:pPr>
                    <w:widowControl w:val="0"/>
                    <w:overflowPunct w:val="0"/>
                    <w:autoSpaceDE w:val="0"/>
                    <w:autoSpaceDN w:val="0"/>
                    <w:snapToGrid w:val="0"/>
                    <w:jc w:val="center"/>
                    <w:rPr>
                      <w:color w:val="auto"/>
                      <w:u w:val="single"/>
                      <w14:ligatures w14:val="standardContextual"/>
                    </w:rPr>
                  </w:pPr>
                  <w:r>
                    <w:rPr>
                      <w:rFonts w:hint="eastAsia"/>
                      <w:color w:val="auto"/>
                      <w:u w:val="single"/>
                      <w14:ligatures w14:val="standardContextual"/>
                    </w:rPr>
                    <w:t>新建</w:t>
                  </w:r>
                </w:p>
              </w:tc>
            </w:tr>
          </w:tbl>
          <w:p w14:paraId="2C36C315">
            <w:pPr>
              <w:pStyle w:val="66"/>
              <w:spacing w:after="120"/>
            </w:pPr>
            <w:bookmarkStart w:id="71" w:name="OLE_LINK176"/>
            <w:r>
              <w:rPr>
                <w:rFonts w:hint="eastAsia"/>
              </w:rPr>
              <w:t>备注：由于场地限制，</w:t>
            </w:r>
            <w:bookmarkStart w:id="72" w:name="OLE_LINK45"/>
            <w:r>
              <w:rPr>
                <w:rFonts w:hint="eastAsia"/>
              </w:rPr>
              <w:t>生物质锅炉工程</w:t>
            </w:r>
            <w:bookmarkEnd w:id="72"/>
            <w:r>
              <w:rPr>
                <w:rFonts w:hint="eastAsia"/>
              </w:rPr>
              <w:t>中的卸车料场不再建设，生物质锅炉工程占地面积由4000</w:t>
            </w:r>
            <w:bookmarkStart w:id="73" w:name="OLE_LINK44"/>
            <w:r>
              <w:rPr>
                <w:rFonts w:hint="eastAsia"/>
              </w:rPr>
              <w:t>㎡</w:t>
            </w:r>
            <w:bookmarkEnd w:id="73"/>
            <w:r>
              <w:rPr>
                <w:rFonts w:hint="eastAsia"/>
              </w:rPr>
              <w:t>变更为1113.42㎡。</w:t>
            </w:r>
          </w:p>
          <w:p w14:paraId="3B3B574E">
            <w:pPr>
              <w:pStyle w:val="3"/>
              <w:ind w:firstLine="480"/>
            </w:pPr>
            <w:r>
              <w:rPr>
                <w:rFonts w:hint="eastAsia"/>
              </w:rPr>
              <w:t>灰渣间</w:t>
            </w:r>
            <w:bookmarkEnd w:id="71"/>
            <w:r>
              <w:rPr>
                <w:rFonts w:hint="eastAsia"/>
              </w:rPr>
              <w:t>储存能力分析，根据建设单位提供资料，1m</w:t>
            </w:r>
            <w:r>
              <w:rPr>
                <w:rFonts w:hint="eastAsia"/>
                <w:vertAlign w:val="superscript"/>
              </w:rPr>
              <w:t>3</w:t>
            </w:r>
            <w:r>
              <w:rPr>
                <w:rFonts w:hint="eastAsia"/>
              </w:rPr>
              <w:t>容积大约能存放0.3t的固体废物，本项目设</w:t>
            </w:r>
            <w:r>
              <w:rPr>
                <w:rFonts w:hint="eastAsia"/>
                <w:color w:val="auto"/>
              </w:rPr>
              <w:t>置有80m</w:t>
            </w:r>
            <w:r>
              <w:rPr>
                <w:rFonts w:hint="eastAsia"/>
                <w:color w:val="auto"/>
                <w:vertAlign w:val="superscript"/>
              </w:rPr>
              <w:t>2</w:t>
            </w:r>
            <w:r>
              <w:rPr>
                <w:rFonts w:hint="eastAsia"/>
                <w:color w:val="auto"/>
              </w:rPr>
              <w:t>（560m</w:t>
            </w:r>
            <w:r>
              <w:rPr>
                <w:rFonts w:hint="eastAsia"/>
                <w:color w:val="auto"/>
                <w:vertAlign w:val="superscript"/>
              </w:rPr>
              <w:t>3</w:t>
            </w:r>
            <w:r>
              <w:rPr>
                <w:rFonts w:hint="eastAsia"/>
                <w:color w:val="auto"/>
              </w:rPr>
              <w:t>）的灰渣间，能存放168t的炉渣和除尘灰等固体废物，存放周期为1个月，则一年储存量约为2000t，本项目炉渣产生量为</w:t>
            </w:r>
            <w:bookmarkStart w:id="74" w:name="OLE_LINK25"/>
            <w:bookmarkStart w:id="75" w:name="OLE_LINK175"/>
            <w:r>
              <w:rPr>
                <w:rFonts w:hint="eastAsia"/>
                <w:color w:val="auto"/>
              </w:rPr>
              <w:t>1136.13</w:t>
            </w:r>
            <w:bookmarkEnd w:id="74"/>
            <w:r>
              <w:rPr>
                <w:rFonts w:hint="eastAsia"/>
                <w:color w:val="auto"/>
              </w:rPr>
              <w:t>t/a</w:t>
            </w:r>
            <w:bookmarkEnd w:id="75"/>
            <w:r>
              <w:rPr>
                <w:rFonts w:hint="eastAsia"/>
                <w:color w:val="auto"/>
              </w:rPr>
              <w:t>，</w:t>
            </w:r>
            <w:r>
              <w:rPr>
                <w:rFonts w:hint="eastAsia"/>
              </w:rPr>
              <w:t>除尘灰产生量为12.5t/a，其余固态废物产生量约1t/a，灰渣间储存量远大于一般固体废物产生量之和，因此灰渣间设置合理。</w:t>
            </w:r>
          </w:p>
          <w:p w14:paraId="5FBF849D">
            <w:pPr>
              <w:pStyle w:val="7"/>
            </w:pPr>
            <w:r>
              <w:rPr>
                <w:rFonts w:hint="eastAsia"/>
              </w:rPr>
              <w:t>四、拟入驻企业</w:t>
            </w:r>
          </w:p>
          <w:p w14:paraId="313FE9BC">
            <w:pPr>
              <w:pStyle w:val="3"/>
              <w:ind w:firstLine="480"/>
            </w:pPr>
            <w:r>
              <w:rPr>
                <w:rFonts w:hint="eastAsia"/>
              </w:rPr>
              <w:t>本项目为属于园区的标准化厂房及公辅配套项目的子工程，为入驻企业提供综合运行保障服务，项目目前规划入驻企业为污染小或无污染企业，后期如入驻需要企业根据情况单独办理环评手续。本次仅为配套基础设施建设相关内容，不包含具体的项目。</w:t>
            </w:r>
          </w:p>
          <w:p w14:paraId="7264BF61">
            <w:pPr>
              <w:pStyle w:val="7"/>
            </w:pPr>
            <w:r>
              <w:rPr>
                <w:rFonts w:hint="eastAsia"/>
              </w:rPr>
              <w:t>五、主要生产设施</w:t>
            </w:r>
          </w:p>
          <w:p w14:paraId="381CA287">
            <w:pPr>
              <w:pStyle w:val="3"/>
              <w:tabs>
                <w:tab w:val="left" w:pos="4433"/>
              </w:tabs>
              <w:ind w:firstLine="480"/>
            </w:pPr>
            <w:r>
              <w:rPr>
                <w:rFonts w:hint="eastAsia"/>
              </w:rPr>
              <w:t>本项目主要设备明细见下表。</w:t>
            </w:r>
          </w:p>
          <w:p w14:paraId="23A3C5F0">
            <w:pPr>
              <w:pStyle w:val="49"/>
            </w:pPr>
            <w:bookmarkStart w:id="76" w:name="_Ref176945961"/>
            <w:r>
              <w:rPr>
                <w:rFonts w:hint="eastAsia"/>
              </w:rPr>
              <w:t xml:space="preserve">表2- </w:t>
            </w:r>
            <w:r>
              <w:t>2</w:t>
            </w:r>
            <w:r>
              <w:rPr>
                <w:rFonts w:hint="eastAsia"/>
              </w:rPr>
              <w:t>：本项目主要设备</w:t>
            </w:r>
            <w:bookmarkEnd w:id="76"/>
          </w:p>
          <w:tbl>
            <w:tblPr>
              <w:tblStyle w:val="5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819"/>
              <w:gridCol w:w="2091"/>
              <w:gridCol w:w="4212"/>
              <w:gridCol w:w="1255"/>
            </w:tblGrid>
            <w:tr w14:paraId="5D3DAA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489" w:type="pct"/>
                  <w:tcBorders>
                    <w:top w:val="single" w:color="auto" w:sz="12" w:space="0"/>
                    <w:left w:val="nil"/>
                    <w:bottom w:val="single" w:color="auto" w:sz="12" w:space="0"/>
                    <w:right w:val="single" w:color="auto" w:sz="4" w:space="0"/>
                    <w:insideH w:val="single" w:sz="12" w:space="0"/>
                    <w:insideV w:val="single" w:sz="4" w:space="0"/>
                    <w:tl2br w:val="nil"/>
                    <w:tr2bl w:val="nil"/>
                  </w:tcBorders>
                  <w:vAlign w:val="center"/>
                </w:tcPr>
                <w:p w14:paraId="360E16F4">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z w:val="21"/>
                      <w:szCs w:val="21"/>
                      <w14:ligatures w14:val="standardContextual"/>
                    </w:rPr>
                  </w:pPr>
                  <w:r>
                    <w:rPr>
                      <w:rFonts w:hint="eastAsia" w:ascii="Times New Roman" w:hAnsi="Times New Roman" w:eastAsia="宋体" w:cs="Times New Roman"/>
                      <w:b/>
                      <w:i w:val="0"/>
                      <w:sz w:val="21"/>
                      <w:szCs w:val="21"/>
                      <w14:ligatures w14:val="standardContextual"/>
                    </w:rPr>
                    <w:t>序号</w:t>
                  </w:r>
                </w:p>
              </w:tc>
              <w:tc>
                <w:tcPr>
                  <w:tcW w:w="1248"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55936927">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z w:val="21"/>
                      <w:szCs w:val="21"/>
                      <w14:ligatures w14:val="standardContextual"/>
                    </w:rPr>
                  </w:pPr>
                  <w:r>
                    <w:rPr>
                      <w:rFonts w:hint="eastAsia" w:ascii="Times New Roman" w:hAnsi="Times New Roman" w:eastAsia="宋体" w:cs="Times New Roman"/>
                      <w:b/>
                      <w:i w:val="0"/>
                      <w:sz w:val="21"/>
                      <w:szCs w:val="21"/>
                      <w14:ligatures w14:val="standardContextual"/>
                    </w:rPr>
                    <w:t>设备名称</w:t>
                  </w:r>
                </w:p>
              </w:tc>
              <w:tc>
                <w:tcPr>
                  <w:tcW w:w="2514"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1335E732">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z w:val="21"/>
                      <w:szCs w:val="21"/>
                      <w14:ligatures w14:val="standardContextual"/>
                    </w:rPr>
                  </w:pPr>
                  <w:r>
                    <w:rPr>
                      <w:rFonts w:hint="eastAsia" w:ascii="Times New Roman" w:hAnsi="Times New Roman" w:eastAsia="宋体" w:cs="Times New Roman"/>
                      <w:b/>
                      <w:i w:val="0"/>
                      <w:sz w:val="21"/>
                      <w:szCs w:val="21"/>
                      <w14:ligatures w14:val="standardContextual"/>
                    </w:rPr>
                    <w:t>型号</w:t>
                  </w:r>
                </w:p>
              </w:tc>
              <w:tc>
                <w:tcPr>
                  <w:tcW w:w="749" w:type="pct"/>
                  <w:tcBorders>
                    <w:top w:val="single" w:color="auto" w:sz="12" w:space="0"/>
                    <w:bottom w:val="single" w:color="auto" w:sz="12" w:space="0"/>
                    <w:right w:val="nil"/>
                    <w:insideH w:val="single" w:sz="12" w:space="0"/>
                    <w:insideV w:val="single" w:sz="4" w:space="0"/>
                    <w:tl2br w:val="nil"/>
                    <w:tr2bl w:val="nil"/>
                  </w:tcBorders>
                  <w:vAlign w:val="center"/>
                </w:tcPr>
                <w:p w14:paraId="15F31D78">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z w:val="21"/>
                      <w:szCs w:val="21"/>
                      <w14:ligatures w14:val="standardContextual"/>
                    </w:rPr>
                  </w:pPr>
                  <w:r>
                    <w:rPr>
                      <w:rFonts w:hint="eastAsia" w:ascii="Times New Roman" w:hAnsi="Times New Roman" w:eastAsia="宋体" w:cs="Times New Roman"/>
                      <w:b/>
                      <w:i w:val="0"/>
                      <w:sz w:val="21"/>
                      <w:szCs w:val="21"/>
                      <w14:ligatures w14:val="standardContextual"/>
                    </w:rPr>
                    <w:t>数量</w:t>
                  </w:r>
                </w:p>
              </w:tc>
            </w:tr>
            <w:tr w14:paraId="276551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489" w:type="pct"/>
                  <w:vAlign w:val="center"/>
                </w:tcPr>
                <w:p w14:paraId="21C05D09">
                  <w:pPr>
                    <w:pStyle w:val="68"/>
                    <w:widowControl w:val="0"/>
                    <w:numPr>
                      <w:ilvl w:val="0"/>
                      <w:numId w:val="2"/>
                    </w:numPr>
                    <w:overflowPunct w:val="0"/>
                    <w:autoSpaceDE w:val="0"/>
                    <w:autoSpaceDN w:val="0"/>
                    <w:snapToGrid w:val="0"/>
                    <w:ind w:firstLineChars="0"/>
                    <w:jc w:val="center"/>
                    <w:rPr>
                      <w14:ligatures w14:val="standardContextual"/>
                    </w:rPr>
                  </w:pPr>
                </w:p>
              </w:tc>
              <w:tc>
                <w:tcPr>
                  <w:tcW w:w="1248" w:type="pct"/>
                  <w:vAlign w:val="top"/>
                </w:tcPr>
                <w:p w14:paraId="6BBDEDA5">
                  <w:pPr>
                    <w:widowControl w:val="0"/>
                    <w:overflowPunct w:val="0"/>
                    <w:autoSpaceDE w:val="0"/>
                    <w:autoSpaceDN w:val="0"/>
                    <w:snapToGrid w:val="0"/>
                    <w:jc w:val="center"/>
                    <w:rPr>
                      <w:rFonts w:cs="宋体"/>
                      <w:sz w:val="22"/>
                      <w:szCs w:val="22"/>
                      <w14:ligatures w14:val="standardContextual"/>
                    </w:rPr>
                  </w:pPr>
                  <w:bookmarkStart w:id="77" w:name="OLE_LINK253"/>
                  <w:r>
                    <w:rPr>
                      <w:rFonts w:hint="eastAsia"/>
                      <w14:ligatures w14:val="standardContextual"/>
                    </w:rPr>
                    <w:t>锅炉本体</w:t>
                  </w:r>
                  <w:bookmarkEnd w:id="77"/>
                </w:p>
              </w:tc>
              <w:tc>
                <w:tcPr>
                  <w:tcW w:w="2514" w:type="pct"/>
                  <w:vAlign w:val="top"/>
                </w:tcPr>
                <w:p w14:paraId="7052C8CD">
                  <w:pPr>
                    <w:widowControl w:val="0"/>
                    <w:overflowPunct w:val="0"/>
                    <w:autoSpaceDE w:val="0"/>
                    <w:autoSpaceDN w:val="0"/>
                    <w:snapToGrid w:val="0"/>
                    <w:jc w:val="center"/>
                    <w:rPr>
                      <w:rFonts w:cs="宋体"/>
                      <w:sz w:val="22"/>
                      <w:szCs w:val="22"/>
                      <w14:ligatures w14:val="standardContextual"/>
                    </w:rPr>
                  </w:pPr>
                  <w:r>
                    <w:rPr>
                      <w:rFonts w:hint="eastAsia"/>
                      <w14:ligatures w14:val="standardContextual"/>
                    </w:rPr>
                    <w:t>DZL8-1.25-SCII，8t/h</w:t>
                  </w:r>
                </w:p>
              </w:tc>
              <w:tc>
                <w:tcPr>
                  <w:tcW w:w="749" w:type="pct"/>
                  <w:vAlign w:val="center"/>
                </w:tcPr>
                <w:p w14:paraId="32EE5609">
                  <w:pPr>
                    <w:widowControl w:val="0"/>
                    <w:overflowPunct w:val="0"/>
                    <w:autoSpaceDE w:val="0"/>
                    <w:autoSpaceDN w:val="0"/>
                    <w:snapToGrid w:val="0"/>
                    <w:jc w:val="center"/>
                    <w:rPr>
                      <w14:ligatures w14:val="standardContextual"/>
                    </w:rPr>
                  </w:pPr>
                  <w:r>
                    <w:rPr>
                      <w:rFonts w:hint="eastAsia"/>
                      <w14:ligatures w14:val="standardContextual"/>
                    </w:rPr>
                    <w:t>4台</w:t>
                  </w:r>
                </w:p>
              </w:tc>
            </w:tr>
            <w:tr w14:paraId="4E402A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489" w:type="pct"/>
                  <w:vAlign w:val="center"/>
                </w:tcPr>
                <w:p w14:paraId="05CF4A0D">
                  <w:pPr>
                    <w:pStyle w:val="68"/>
                    <w:widowControl w:val="0"/>
                    <w:numPr>
                      <w:ilvl w:val="0"/>
                      <w:numId w:val="2"/>
                    </w:numPr>
                    <w:overflowPunct w:val="0"/>
                    <w:autoSpaceDE w:val="0"/>
                    <w:autoSpaceDN w:val="0"/>
                    <w:snapToGrid w:val="0"/>
                    <w:ind w:firstLineChars="0"/>
                    <w:jc w:val="center"/>
                    <w:rPr>
                      <w14:ligatures w14:val="standardContextual"/>
                    </w:rPr>
                  </w:pPr>
                </w:p>
              </w:tc>
              <w:tc>
                <w:tcPr>
                  <w:tcW w:w="1248" w:type="pct"/>
                  <w:vAlign w:val="center"/>
                </w:tcPr>
                <w:p w14:paraId="7C588619">
                  <w:pPr>
                    <w:widowControl w:val="0"/>
                    <w:overflowPunct w:val="0"/>
                    <w:autoSpaceDE w:val="0"/>
                    <w:autoSpaceDN w:val="0"/>
                    <w:snapToGrid w:val="0"/>
                    <w:jc w:val="center"/>
                    <w:rPr>
                      <w:rFonts w:cs="宋体"/>
                      <w:sz w:val="22"/>
                      <w:szCs w:val="22"/>
                      <w14:ligatures w14:val="standardContextual"/>
                    </w:rPr>
                  </w:pPr>
                  <w:r>
                    <w:rPr>
                      <w:rFonts w:hint="eastAsia"/>
                      <w14:ligatures w14:val="standardContextual"/>
                    </w:rPr>
                    <w:t>节能器</w:t>
                  </w:r>
                </w:p>
              </w:tc>
              <w:tc>
                <w:tcPr>
                  <w:tcW w:w="2514" w:type="pct"/>
                  <w:vAlign w:val="center"/>
                </w:tcPr>
                <w:p w14:paraId="6B1D61D1">
                  <w:pPr>
                    <w:widowControl w:val="0"/>
                    <w:overflowPunct w:val="0"/>
                    <w:autoSpaceDE w:val="0"/>
                    <w:autoSpaceDN w:val="0"/>
                    <w:snapToGrid w:val="0"/>
                    <w:jc w:val="center"/>
                    <w:rPr>
                      <w:rFonts w:cs="宋体"/>
                      <w:sz w:val="22"/>
                      <w:szCs w:val="22"/>
                      <w14:ligatures w14:val="standardContextual"/>
                    </w:rPr>
                  </w:pPr>
                  <w:r>
                    <w:rPr>
                      <w:rFonts w:hint="eastAsia"/>
                      <w14:ligatures w14:val="standardContextual"/>
                    </w:rPr>
                    <w:t>翅片管式、常压</w:t>
                  </w:r>
                </w:p>
              </w:tc>
              <w:tc>
                <w:tcPr>
                  <w:tcW w:w="749" w:type="pct"/>
                  <w:vAlign w:val="center"/>
                </w:tcPr>
                <w:p w14:paraId="613E8F20">
                  <w:pPr>
                    <w:widowControl w:val="0"/>
                    <w:overflowPunct w:val="0"/>
                    <w:autoSpaceDE w:val="0"/>
                    <w:autoSpaceDN w:val="0"/>
                    <w:snapToGrid w:val="0"/>
                    <w:jc w:val="center"/>
                    <w:rPr>
                      <w14:ligatures w14:val="standardContextual"/>
                    </w:rPr>
                  </w:pPr>
                  <w:r>
                    <w:rPr>
                      <w:rFonts w:hint="eastAsia"/>
                      <w14:ligatures w14:val="standardContextual"/>
                    </w:rPr>
                    <w:t>4组/18m</w:t>
                  </w:r>
                </w:p>
              </w:tc>
            </w:tr>
            <w:tr w14:paraId="6BAF4D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489" w:type="pct"/>
                  <w:vAlign w:val="center"/>
                </w:tcPr>
                <w:p w14:paraId="0EB13923">
                  <w:pPr>
                    <w:pStyle w:val="68"/>
                    <w:widowControl w:val="0"/>
                    <w:numPr>
                      <w:ilvl w:val="0"/>
                      <w:numId w:val="2"/>
                    </w:numPr>
                    <w:overflowPunct w:val="0"/>
                    <w:autoSpaceDE w:val="0"/>
                    <w:autoSpaceDN w:val="0"/>
                    <w:snapToGrid w:val="0"/>
                    <w:ind w:firstLineChars="0"/>
                    <w:jc w:val="center"/>
                    <w:rPr>
                      <w14:ligatures w14:val="standardContextual"/>
                    </w:rPr>
                  </w:pPr>
                </w:p>
              </w:tc>
              <w:tc>
                <w:tcPr>
                  <w:tcW w:w="1248" w:type="pct"/>
                  <w:vAlign w:val="center"/>
                </w:tcPr>
                <w:p w14:paraId="3FE9BFD8">
                  <w:pPr>
                    <w:widowControl w:val="0"/>
                    <w:overflowPunct w:val="0"/>
                    <w:autoSpaceDE w:val="0"/>
                    <w:autoSpaceDN w:val="0"/>
                    <w:snapToGrid w:val="0"/>
                    <w:jc w:val="center"/>
                    <w:rPr>
                      <w:rFonts w:cs="宋体"/>
                      <w:sz w:val="22"/>
                      <w:szCs w:val="22"/>
                      <w14:ligatures w14:val="standardContextual"/>
                    </w:rPr>
                  </w:pPr>
                  <w:r>
                    <w:rPr>
                      <w:rFonts w:hint="eastAsia"/>
                      <w14:ligatures w14:val="standardContextual"/>
                    </w:rPr>
                    <w:t>炉前给料系统</w:t>
                  </w:r>
                </w:p>
              </w:tc>
              <w:tc>
                <w:tcPr>
                  <w:tcW w:w="2514" w:type="pct"/>
                  <w:vAlign w:val="center"/>
                </w:tcPr>
                <w:p w14:paraId="057189EE">
                  <w:pPr>
                    <w:widowControl w:val="0"/>
                    <w:overflowPunct w:val="0"/>
                    <w:autoSpaceDE w:val="0"/>
                    <w:autoSpaceDN w:val="0"/>
                    <w:snapToGrid w:val="0"/>
                    <w:jc w:val="center"/>
                    <w:rPr>
                      <w:rFonts w:cs="宋体"/>
                      <w:sz w:val="22"/>
                      <w:szCs w:val="22"/>
                      <w14:ligatures w14:val="standardContextual"/>
                    </w:rPr>
                  </w:pPr>
                  <w:r>
                    <w:rPr>
                      <w:rFonts w:hint="eastAsia"/>
                      <w14:ligatures w14:val="standardContextual"/>
                    </w:rPr>
                    <w:t>变频调速、硬齿面减速机，连续、均匀给料，带防回火技术，含炉前料斗7x11KW</w:t>
                  </w:r>
                </w:p>
              </w:tc>
              <w:tc>
                <w:tcPr>
                  <w:tcW w:w="749" w:type="pct"/>
                  <w:vAlign w:val="center"/>
                </w:tcPr>
                <w:p w14:paraId="6FC5155F">
                  <w:pPr>
                    <w:widowControl w:val="0"/>
                    <w:overflowPunct w:val="0"/>
                    <w:autoSpaceDE w:val="0"/>
                    <w:autoSpaceDN w:val="0"/>
                    <w:snapToGrid w:val="0"/>
                    <w:jc w:val="center"/>
                    <w:rPr>
                      <w14:ligatures w14:val="standardContextual"/>
                    </w:rPr>
                  </w:pPr>
                  <w:r>
                    <w:rPr>
                      <w:rFonts w:hint="eastAsia"/>
                      <w14:ligatures w14:val="standardContextual"/>
                    </w:rPr>
                    <w:t>4台</w:t>
                  </w:r>
                </w:p>
              </w:tc>
            </w:tr>
            <w:tr w14:paraId="545D9E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489" w:type="pct"/>
                  <w:vAlign w:val="center"/>
                </w:tcPr>
                <w:p w14:paraId="3F309588">
                  <w:pPr>
                    <w:pStyle w:val="68"/>
                    <w:widowControl w:val="0"/>
                    <w:numPr>
                      <w:ilvl w:val="0"/>
                      <w:numId w:val="2"/>
                    </w:numPr>
                    <w:overflowPunct w:val="0"/>
                    <w:autoSpaceDE w:val="0"/>
                    <w:autoSpaceDN w:val="0"/>
                    <w:snapToGrid w:val="0"/>
                    <w:ind w:firstLineChars="0"/>
                    <w:jc w:val="center"/>
                    <w:rPr>
                      <w14:ligatures w14:val="standardContextual"/>
                    </w:rPr>
                  </w:pPr>
                  <w:bookmarkStart w:id="78" w:name="_Hlk191848253"/>
                </w:p>
              </w:tc>
              <w:tc>
                <w:tcPr>
                  <w:tcW w:w="1248" w:type="pct"/>
                  <w:vAlign w:val="center"/>
                </w:tcPr>
                <w:p w14:paraId="45E568AF">
                  <w:pPr>
                    <w:widowControl w:val="0"/>
                    <w:overflowPunct w:val="0"/>
                    <w:autoSpaceDE w:val="0"/>
                    <w:autoSpaceDN w:val="0"/>
                    <w:snapToGrid w:val="0"/>
                    <w:jc w:val="center"/>
                    <w:rPr>
                      <w:rFonts w:cs="宋体"/>
                      <w:sz w:val="22"/>
                      <w:szCs w:val="22"/>
                      <w14:ligatures w14:val="standardContextual"/>
                    </w:rPr>
                  </w:pPr>
                  <w:r>
                    <w:rPr>
                      <w:rFonts w:hint="eastAsia"/>
                      <w14:ligatures w14:val="standardContextual"/>
                    </w:rPr>
                    <w:t>鼓风机</w:t>
                  </w:r>
                </w:p>
              </w:tc>
              <w:tc>
                <w:tcPr>
                  <w:tcW w:w="2514" w:type="pct"/>
                  <w:vAlign w:val="center"/>
                </w:tcPr>
                <w:p w14:paraId="0CEDD918">
                  <w:pPr>
                    <w:widowControl w:val="0"/>
                    <w:overflowPunct w:val="0"/>
                    <w:autoSpaceDE w:val="0"/>
                    <w:autoSpaceDN w:val="0"/>
                    <w:snapToGrid w:val="0"/>
                    <w:jc w:val="center"/>
                    <w:rPr>
                      <w:rFonts w:cs="宋体"/>
                      <w:sz w:val="22"/>
                      <w:szCs w:val="22"/>
                      <w14:ligatures w14:val="standardContextual"/>
                    </w:rPr>
                  </w:pPr>
                  <w:r>
                    <w:rPr>
                      <w14:ligatures w14:val="standardContextual"/>
                    </w:rPr>
                    <w:t>2843Pa</w:t>
                  </w:r>
                  <w:r>
                    <w:rPr>
                      <w:rFonts w:hint="eastAsia"/>
                      <w14:ligatures w14:val="standardContextual"/>
                    </w:rPr>
                    <w:t>，</w:t>
                  </w:r>
                  <w:r>
                    <w:rPr>
                      <w14:ligatures w14:val="standardContextual"/>
                    </w:rPr>
                    <w:t>15kW</w:t>
                  </w:r>
                </w:p>
              </w:tc>
              <w:tc>
                <w:tcPr>
                  <w:tcW w:w="749" w:type="pct"/>
                  <w:vAlign w:val="center"/>
                </w:tcPr>
                <w:p w14:paraId="1BAE2731">
                  <w:pPr>
                    <w:widowControl w:val="0"/>
                    <w:overflowPunct w:val="0"/>
                    <w:autoSpaceDE w:val="0"/>
                    <w:autoSpaceDN w:val="0"/>
                    <w:snapToGrid w:val="0"/>
                    <w:jc w:val="center"/>
                    <w:rPr>
                      <w14:ligatures w14:val="standardContextual"/>
                    </w:rPr>
                  </w:pPr>
                  <w:r>
                    <w:rPr>
                      <w:rFonts w:hint="eastAsia"/>
                      <w14:ligatures w14:val="standardContextual"/>
                    </w:rPr>
                    <w:t>4台</w:t>
                  </w:r>
                </w:p>
              </w:tc>
            </w:tr>
            <w:tr w14:paraId="343368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14" w:hRule="atLeast"/>
                <w:jc w:val="center"/>
              </w:trPr>
              <w:tc>
                <w:tcPr>
                  <w:tcW w:w="489" w:type="pct"/>
                  <w:vAlign w:val="center"/>
                </w:tcPr>
                <w:p w14:paraId="11D25C67">
                  <w:pPr>
                    <w:pStyle w:val="68"/>
                    <w:widowControl w:val="0"/>
                    <w:numPr>
                      <w:ilvl w:val="0"/>
                      <w:numId w:val="2"/>
                    </w:numPr>
                    <w:overflowPunct w:val="0"/>
                    <w:autoSpaceDE w:val="0"/>
                    <w:autoSpaceDN w:val="0"/>
                    <w:snapToGrid w:val="0"/>
                    <w:ind w:firstLineChars="0"/>
                    <w:jc w:val="center"/>
                    <w:rPr>
                      <w14:ligatures w14:val="standardContextual"/>
                    </w:rPr>
                  </w:pPr>
                </w:p>
              </w:tc>
              <w:tc>
                <w:tcPr>
                  <w:tcW w:w="1248" w:type="pct"/>
                  <w:vAlign w:val="top"/>
                </w:tcPr>
                <w:p w14:paraId="4E2F9E54">
                  <w:pPr>
                    <w:widowControl w:val="0"/>
                    <w:overflowPunct w:val="0"/>
                    <w:autoSpaceDE w:val="0"/>
                    <w:autoSpaceDN w:val="0"/>
                    <w:snapToGrid w:val="0"/>
                    <w:jc w:val="center"/>
                    <w:rPr>
                      <w:rFonts w:cs="宋体"/>
                      <w:sz w:val="22"/>
                      <w:szCs w:val="22"/>
                      <w14:ligatures w14:val="standardContextual"/>
                    </w:rPr>
                  </w:pPr>
                  <w:r>
                    <w:rPr>
                      <w:rFonts w:hint="eastAsia"/>
                      <w14:ligatures w14:val="standardContextual"/>
                    </w:rPr>
                    <w:t>补水泵</w:t>
                  </w:r>
                </w:p>
              </w:tc>
              <w:tc>
                <w:tcPr>
                  <w:tcW w:w="2514" w:type="pct"/>
                  <w:vAlign w:val="top"/>
                </w:tcPr>
                <w:p w14:paraId="13D9DE3A">
                  <w:pPr>
                    <w:widowControl w:val="0"/>
                    <w:overflowPunct w:val="0"/>
                    <w:autoSpaceDE w:val="0"/>
                    <w:autoSpaceDN w:val="0"/>
                    <w:snapToGrid w:val="0"/>
                    <w:jc w:val="center"/>
                    <w:rPr>
                      <w:rFonts w:cs="宋体"/>
                      <w:sz w:val="22"/>
                      <w:szCs w:val="22"/>
                      <w14:ligatures w14:val="standardContextual"/>
                    </w:rPr>
                  </w:pPr>
                  <w:r>
                    <w:rPr>
                      <w:rFonts w:hint="eastAsia"/>
                      <w14:ligatures w14:val="standardContextual"/>
                    </w:rPr>
                    <w:t>LVR15-17，11kW</w:t>
                  </w:r>
                </w:p>
              </w:tc>
              <w:tc>
                <w:tcPr>
                  <w:tcW w:w="749" w:type="pct"/>
                  <w:vAlign w:val="center"/>
                </w:tcPr>
                <w:p w14:paraId="282F0527">
                  <w:pPr>
                    <w:widowControl w:val="0"/>
                    <w:overflowPunct w:val="0"/>
                    <w:autoSpaceDE w:val="0"/>
                    <w:autoSpaceDN w:val="0"/>
                    <w:snapToGrid w:val="0"/>
                    <w:jc w:val="center"/>
                    <w:rPr>
                      <w14:ligatures w14:val="standardContextual"/>
                    </w:rPr>
                  </w:pPr>
                  <w:r>
                    <w:rPr>
                      <w:rFonts w:hint="eastAsia"/>
                      <w14:ligatures w14:val="standardContextual"/>
                    </w:rPr>
                    <w:t>8台</w:t>
                  </w:r>
                </w:p>
              </w:tc>
            </w:tr>
            <w:tr w14:paraId="29ACED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14" w:hRule="atLeast"/>
                <w:jc w:val="center"/>
              </w:trPr>
              <w:tc>
                <w:tcPr>
                  <w:tcW w:w="489" w:type="pct"/>
                  <w:vAlign w:val="center"/>
                </w:tcPr>
                <w:p w14:paraId="3309E443">
                  <w:pPr>
                    <w:pStyle w:val="68"/>
                    <w:widowControl w:val="0"/>
                    <w:numPr>
                      <w:ilvl w:val="0"/>
                      <w:numId w:val="2"/>
                    </w:numPr>
                    <w:overflowPunct w:val="0"/>
                    <w:autoSpaceDE w:val="0"/>
                    <w:autoSpaceDN w:val="0"/>
                    <w:snapToGrid w:val="0"/>
                    <w:ind w:firstLineChars="0"/>
                    <w:jc w:val="center"/>
                    <w:rPr>
                      <w14:ligatures w14:val="standardContextual"/>
                    </w:rPr>
                  </w:pPr>
                </w:p>
              </w:tc>
              <w:tc>
                <w:tcPr>
                  <w:tcW w:w="1248" w:type="pct"/>
                  <w:vAlign w:val="top"/>
                </w:tcPr>
                <w:p w14:paraId="1D86A9DF">
                  <w:pPr>
                    <w:widowControl w:val="0"/>
                    <w:overflowPunct w:val="0"/>
                    <w:autoSpaceDE w:val="0"/>
                    <w:autoSpaceDN w:val="0"/>
                    <w:snapToGrid w:val="0"/>
                    <w:jc w:val="center"/>
                    <w:rPr>
                      <w14:ligatures w14:val="standardContextual"/>
                    </w:rPr>
                  </w:pPr>
                  <w:r>
                    <w:rPr>
                      <w:rFonts w:hint="eastAsia"/>
                      <w14:ligatures w14:val="standardContextual"/>
                    </w:rPr>
                    <w:t>出渣机</w:t>
                  </w:r>
                </w:p>
              </w:tc>
              <w:tc>
                <w:tcPr>
                  <w:tcW w:w="2514" w:type="pct"/>
                  <w:vAlign w:val="top"/>
                </w:tcPr>
                <w:p w14:paraId="522F8715">
                  <w:pPr>
                    <w:widowControl w:val="0"/>
                    <w:overflowPunct w:val="0"/>
                    <w:autoSpaceDE w:val="0"/>
                    <w:autoSpaceDN w:val="0"/>
                    <w:snapToGrid w:val="0"/>
                    <w:jc w:val="center"/>
                    <w:rPr>
                      <w14:ligatures w14:val="standardContextual"/>
                    </w:rPr>
                  </w:pPr>
                  <w:r>
                    <w:rPr>
                      <w:rFonts w:hint="eastAsia"/>
                      <w14:ligatures w14:val="standardContextual"/>
                    </w:rPr>
                    <w:t>8吨专配</w:t>
                  </w:r>
                </w:p>
              </w:tc>
              <w:tc>
                <w:tcPr>
                  <w:tcW w:w="749" w:type="pct"/>
                  <w:vAlign w:val="center"/>
                </w:tcPr>
                <w:p w14:paraId="045E1DE1">
                  <w:pPr>
                    <w:widowControl w:val="0"/>
                    <w:overflowPunct w:val="0"/>
                    <w:autoSpaceDE w:val="0"/>
                    <w:autoSpaceDN w:val="0"/>
                    <w:snapToGrid w:val="0"/>
                    <w:jc w:val="center"/>
                    <w:rPr>
                      <w14:ligatures w14:val="standardContextual"/>
                    </w:rPr>
                  </w:pPr>
                  <w:r>
                    <w:rPr>
                      <w:rFonts w:hint="eastAsia"/>
                      <w14:ligatures w14:val="standardContextual"/>
                    </w:rPr>
                    <w:t>4台</w:t>
                  </w:r>
                </w:p>
              </w:tc>
            </w:tr>
            <w:tr w14:paraId="72EDB9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14" w:hRule="atLeast"/>
                <w:jc w:val="center"/>
              </w:trPr>
              <w:tc>
                <w:tcPr>
                  <w:tcW w:w="489" w:type="pct"/>
                  <w:vAlign w:val="center"/>
                </w:tcPr>
                <w:p w14:paraId="5AFF0275">
                  <w:pPr>
                    <w:pStyle w:val="68"/>
                    <w:widowControl w:val="0"/>
                    <w:numPr>
                      <w:ilvl w:val="0"/>
                      <w:numId w:val="2"/>
                    </w:numPr>
                    <w:overflowPunct w:val="0"/>
                    <w:autoSpaceDE w:val="0"/>
                    <w:autoSpaceDN w:val="0"/>
                    <w:snapToGrid w:val="0"/>
                    <w:ind w:firstLineChars="0"/>
                    <w:jc w:val="center"/>
                    <w:rPr>
                      <w14:ligatures w14:val="standardContextual"/>
                    </w:rPr>
                  </w:pPr>
                </w:p>
              </w:tc>
              <w:tc>
                <w:tcPr>
                  <w:tcW w:w="1248" w:type="pct"/>
                  <w:vAlign w:val="top"/>
                </w:tcPr>
                <w:p w14:paraId="040E281C">
                  <w:pPr>
                    <w:widowControl w:val="0"/>
                    <w:overflowPunct w:val="0"/>
                    <w:autoSpaceDE w:val="0"/>
                    <w:autoSpaceDN w:val="0"/>
                    <w:snapToGrid w:val="0"/>
                    <w:jc w:val="center"/>
                    <w:rPr>
                      <w14:ligatures w14:val="standardContextual"/>
                    </w:rPr>
                  </w:pPr>
                  <w:r>
                    <w:rPr>
                      <w:rFonts w:hint="eastAsia"/>
                      <w14:ligatures w14:val="standardContextual"/>
                    </w:rPr>
                    <w:t>炉排减速机</w:t>
                  </w:r>
                </w:p>
              </w:tc>
              <w:tc>
                <w:tcPr>
                  <w:tcW w:w="2514" w:type="pct"/>
                  <w:vAlign w:val="top"/>
                </w:tcPr>
                <w:p w14:paraId="2E257956">
                  <w:pPr>
                    <w:widowControl w:val="0"/>
                    <w:overflowPunct w:val="0"/>
                    <w:autoSpaceDE w:val="0"/>
                    <w:autoSpaceDN w:val="0"/>
                    <w:snapToGrid w:val="0"/>
                    <w:jc w:val="center"/>
                    <w:rPr>
                      <w14:ligatures w14:val="standardContextual"/>
                    </w:rPr>
                  </w:pPr>
                  <w:r>
                    <w:rPr>
                      <w:rFonts w:hint="eastAsia"/>
                      <w14:ligatures w14:val="standardContextual"/>
                    </w:rPr>
                    <w:t>GL-60P，7.5KW定制速比，电磁调速</w:t>
                  </w:r>
                </w:p>
              </w:tc>
              <w:tc>
                <w:tcPr>
                  <w:tcW w:w="749" w:type="pct"/>
                  <w:vAlign w:val="center"/>
                </w:tcPr>
                <w:p w14:paraId="6EACB6CD">
                  <w:pPr>
                    <w:widowControl w:val="0"/>
                    <w:overflowPunct w:val="0"/>
                    <w:autoSpaceDE w:val="0"/>
                    <w:autoSpaceDN w:val="0"/>
                    <w:snapToGrid w:val="0"/>
                    <w:jc w:val="center"/>
                    <w:rPr>
                      <w14:ligatures w14:val="standardContextual"/>
                    </w:rPr>
                  </w:pPr>
                  <w:r>
                    <w:rPr>
                      <w:rFonts w:hint="eastAsia"/>
                      <w14:ligatures w14:val="standardContextual"/>
                    </w:rPr>
                    <w:t>4台</w:t>
                  </w:r>
                </w:p>
              </w:tc>
            </w:tr>
            <w:bookmarkEnd w:id="78"/>
            <w:tr w14:paraId="477743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14" w:hRule="atLeast"/>
                <w:jc w:val="center"/>
              </w:trPr>
              <w:tc>
                <w:tcPr>
                  <w:tcW w:w="5000" w:type="pct"/>
                  <w:gridSpan w:val="4"/>
                  <w:vAlign w:val="center"/>
                </w:tcPr>
                <w:p w14:paraId="33791715">
                  <w:pPr>
                    <w:widowControl w:val="0"/>
                    <w:overflowPunct w:val="0"/>
                    <w:autoSpaceDE w:val="0"/>
                    <w:autoSpaceDN w:val="0"/>
                    <w:snapToGrid w:val="0"/>
                    <w:jc w:val="center"/>
                    <w:rPr>
                      <w14:ligatures w14:val="standardContextual"/>
                    </w:rPr>
                  </w:pPr>
                  <w:r>
                    <w:rPr>
                      <w:rFonts w:hint="eastAsia"/>
                      <w14:ligatures w14:val="standardContextual"/>
                    </w:rPr>
                    <w:t>环保设备</w:t>
                  </w:r>
                </w:p>
              </w:tc>
            </w:tr>
            <w:tr w14:paraId="477C36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489" w:type="pct"/>
                  <w:vAlign w:val="center"/>
                </w:tcPr>
                <w:p w14:paraId="1CD282B3">
                  <w:pPr>
                    <w:pStyle w:val="68"/>
                    <w:widowControl w:val="0"/>
                    <w:numPr>
                      <w:ilvl w:val="0"/>
                      <w:numId w:val="2"/>
                    </w:numPr>
                    <w:overflowPunct w:val="0"/>
                    <w:autoSpaceDE w:val="0"/>
                    <w:autoSpaceDN w:val="0"/>
                    <w:snapToGrid w:val="0"/>
                    <w:ind w:firstLineChars="0"/>
                    <w:jc w:val="center"/>
                    <w:rPr>
                      <w14:ligatures w14:val="standardContextual"/>
                    </w:rPr>
                  </w:pPr>
                </w:p>
              </w:tc>
              <w:tc>
                <w:tcPr>
                  <w:tcW w:w="1248" w:type="pct"/>
                  <w:vAlign w:val="center"/>
                </w:tcPr>
                <w:p w14:paraId="52ECCA05">
                  <w:pPr>
                    <w:widowControl w:val="0"/>
                    <w:overflowPunct w:val="0"/>
                    <w:autoSpaceDE w:val="0"/>
                    <w:autoSpaceDN w:val="0"/>
                    <w:snapToGrid w:val="0"/>
                    <w:jc w:val="center"/>
                    <w:rPr>
                      <w:rFonts w:cs="宋体"/>
                      <w:sz w:val="22"/>
                      <w:szCs w:val="22"/>
                      <w14:ligatures w14:val="standardContextual"/>
                    </w:rPr>
                  </w:pPr>
                  <w:r>
                    <w:rPr>
                      <w:rFonts w:hint="eastAsia" w:cs="宋体"/>
                      <w:sz w:val="22"/>
                      <w:szCs w:val="22"/>
                      <w14:ligatures w14:val="standardContextual"/>
                    </w:rPr>
                    <w:t>自立式烟囱</w:t>
                  </w:r>
                </w:p>
              </w:tc>
              <w:tc>
                <w:tcPr>
                  <w:tcW w:w="2514" w:type="pct"/>
                  <w:vAlign w:val="center"/>
                </w:tcPr>
                <w:p w14:paraId="610EF61C">
                  <w:pPr>
                    <w:widowControl w:val="0"/>
                    <w:overflowPunct w:val="0"/>
                    <w:autoSpaceDE w:val="0"/>
                    <w:autoSpaceDN w:val="0"/>
                    <w:snapToGrid w:val="0"/>
                    <w:jc w:val="center"/>
                    <w:rPr>
                      <w:rFonts w:cs="宋体"/>
                      <w:sz w:val="22"/>
                      <w:szCs w:val="22"/>
                      <w14:ligatures w14:val="standardContextual"/>
                    </w:rPr>
                  </w:pPr>
                  <w:r>
                    <w:rPr>
                      <w:rFonts w:hint="eastAsia" w:cs="宋体"/>
                      <w:sz w:val="22"/>
                      <w:szCs w:val="22"/>
                      <w14:ligatures w14:val="standardContextual"/>
                    </w:rPr>
                    <w:t>碳钢，H=45米</w:t>
                  </w:r>
                </w:p>
              </w:tc>
              <w:tc>
                <w:tcPr>
                  <w:tcW w:w="749" w:type="pct"/>
                  <w:vAlign w:val="center"/>
                </w:tcPr>
                <w:p w14:paraId="16047747">
                  <w:pPr>
                    <w:widowControl w:val="0"/>
                    <w:overflowPunct w:val="0"/>
                    <w:autoSpaceDE w:val="0"/>
                    <w:autoSpaceDN w:val="0"/>
                    <w:snapToGrid w:val="0"/>
                    <w:jc w:val="center"/>
                    <w:rPr>
                      <w14:ligatures w14:val="standardContextual"/>
                    </w:rPr>
                  </w:pPr>
                  <w:r>
                    <w:rPr>
                      <w:rFonts w:hint="eastAsia"/>
                      <w14:ligatures w14:val="standardContextual"/>
                    </w:rPr>
                    <w:t>1根</w:t>
                  </w:r>
                </w:p>
              </w:tc>
            </w:tr>
            <w:tr w14:paraId="572B63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489" w:type="pct"/>
                  <w:vAlign w:val="center"/>
                </w:tcPr>
                <w:p w14:paraId="08156E9E">
                  <w:pPr>
                    <w:pStyle w:val="68"/>
                    <w:widowControl w:val="0"/>
                    <w:numPr>
                      <w:ilvl w:val="0"/>
                      <w:numId w:val="2"/>
                    </w:numPr>
                    <w:overflowPunct w:val="0"/>
                    <w:autoSpaceDE w:val="0"/>
                    <w:autoSpaceDN w:val="0"/>
                    <w:snapToGrid w:val="0"/>
                    <w:ind w:firstLineChars="0"/>
                    <w:jc w:val="center"/>
                    <w:rPr>
                      <w14:ligatures w14:val="standardContextual"/>
                    </w:rPr>
                  </w:pPr>
                </w:p>
              </w:tc>
              <w:tc>
                <w:tcPr>
                  <w:tcW w:w="1248" w:type="pct"/>
                  <w:vAlign w:val="center"/>
                </w:tcPr>
                <w:p w14:paraId="39414F4F">
                  <w:pPr>
                    <w:widowControl w:val="0"/>
                    <w:overflowPunct w:val="0"/>
                    <w:autoSpaceDE w:val="0"/>
                    <w:autoSpaceDN w:val="0"/>
                    <w:snapToGrid w:val="0"/>
                    <w:jc w:val="center"/>
                    <w:rPr>
                      <w:rFonts w:cs="宋体"/>
                      <w:sz w:val="22"/>
                      <w:szCs w:val="22"/>
                      <w14:ligatures w14:val="standardContextual"/>
                    </w:rPr>
                  </w:pPr>
                  <w:r>
                    <w:rPr>
                      <w:rFonts w:hint="eastAsia" w:cs="宋体"/>
                      <w:sz w:val="22"/>
                      <w:szCs w:val="22"/>
                      <w14:ligatures w14:val="standardContextual"/>
                    </w:rPr>
                    <w:t>多管旋风除尘器</w:t>
                  </w:r>
                </w:p>
              </w:tc>
              <w:tc>
                <w:tcPr>
                  <w:tcW w:w="2514" w:type="pct"/>
                  <w:vAlign w:val="center"/>
                </w:tcPr>
                <w:p w14:paraId="198C4E1D">
                  <w:pPr>
                    <w:widowControl w:val="0"/>
                    <w:overflowPunct w:val="0"/>
                    <w:autoSpaceDE w:val="0"/>
                    <w:autoSpaceDN w:val="0"/>
                    <w:snapToGrid w:val="0"/>
                    <w:jc w:val="center"/>
                    <w:rPr>
                      <w:rFonts w:cs="宋体"/>
                      <w:sz w:val="22"/>
                      <w:szCs w:val="22"/>
                      <w14:ligatures w14:val="standardContextual"/>
                    </w:rPr>
                  </w:pPr>
                  <w:r>
                    <w:rPr>
                      <w:rFonts w:hint="eastAsia" w:cs="宋体"/>
                      <w:sz w:val="22"/>
                      <w:szCs w:val="22"/>
                      <w14:ligatures w14:val="standardContextual"/>
                    </w:rPr>
                    <w:t>XTD-60陶瓷多管，含关风器</w:t>
                  </w:r>
                </w:p>
              </w:tc>
              <w:tc>
                <w:tcPr>
                  <w:tcW w:w="749" w:type="pct"/>
                  <w:vAlign w:val="center"/>
                </w:tcPr>
                <w:p w14:paraId="369D5BCB">
                  <w:pPr>
                    <w:widowControl w:val="0"/>
                    <w:overflowPunct w:val="0"/>
                    <w:autoSpaceDE w:val="0"/>
                    <w:autoSpaceDN w:val="0"/>
                    <w:snapToGrid w:val="0"/>
                    <w:jc w:val="center"/>
                    <w:rPr>
                      <w14:ligatures w14:val="standardContextual"/>
                    </w:rPr>
                  </w:pPr>
                  <w:r>
                    <w:rPr>
                      <w:rFonts w:hint="eastAsia"/>
                      <w14:ligatures w14:val="standardContextual"/>
                    </w:rPr>
                    <w:t>4台</w:t>
                  </w:r>
                </w:p>
              </w:tc>
            </w:tr>
            <w:tr w14:paraId="47956F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489" w:type="pct"/>
                  <w:vAlign w:val="center"/>
                </w:tcPr>
                <w:p w14:paraId="62556C15">
                  <w:pPr>
                    <w:pStyle w:val="68"/>
                    <w:widowControl w:val="0"/>
                    <w:numPr>
                      <w:ilvl w:val="0"/>
                      <w:numId w:val="2"/>
                    </w:numPr>
                    <w:overflowPunct w:val="0"/>
                    <w:autoSpaceDE w:val="0"/>
                    <w:autoSpaceDN w:val="0"/>
                    <w:snapToGrid w:val="0"/>
                    <w:ind w:firstLineChars="0"/>
                    <w:jc w:val="center"/>
                    <w:rPr>
                      <w14:ligatures w14:val="standardContextual"/>
                    </w:rPr>
                  </w:pPr>
                </w:p>
              </w:tc>
              <w:tc>
                <w:tcPr>
                  <w:tcW w:w="1248" w:type="pct"/>
                  <w:vAlign w:val="center"/>
                </w:tcPr>
                <w:p w14:paraId="02203CF8">
                  <w:pPr>
                    <w:widowControl w:val="0"/>
                    <w:overflowPunct w:val="0"/>
                    <w:autoSpaceDE w:val="0"/>
                    <w:autoSpaceDN w:val="0"/>
                    <w:snapToGrid w:val="0"/>
                    <w:jc w:val="center"/>
                    <w:rPr>
                      <w:rFonts w:cs="宋体"/>
                      <w:sz w:val="22"/>
                      <w:szCs w:val="22"/>
                      <w14:ligatures w14:val="standardContextual"/>
                    </w:rPr>
                  </w:pPr>
                  <w:r>
                    <w:rPr>
                      <w:rFonts w:hint="eastAsia"/>
                      <w14:ligatures w14:val="standardContextual"/>
                    </w:rPr>
                    <w:t>布袋除尘系统</w:t>
                  </w:r>
                </w:p>
              </w:tc>
              <w:tc>
                <w:tcPr>
                  <w:tcW w:w="2514" w:type="pct"/>
                  <w:vAlign w:val="center"/>
                </w:tcPr>
                <w:p w14:paraId="29CFB9AE">
                  <w:pPr>
                    <w:widowControl w:val="0"/>
                    <w:overflowPunct w:val="0"/>
                    <w:autoSpaceDE w:val="0"/>
                    <w:autoSpaceDN w:val="0"/>
                    <w:snapToGrid w:val="0"/>
                    <w:jc w:val="center"/>
                    <w:rPr>
                      <w:rFonts w:cs="宋体"/>
                      <w:sz w:val="22"/>
                      <w:szCs w:val="22"/>
                      <w14:ligatures w14:val="standardContextual"/>
                    </w:rPr>
                  </w:pPr>
                  <w:r>
                    <w:rPr>
                      <w:rFonts w:hint="eastAsia"/>
                      <w14:ligatures w14:val="standardContextual"/>
                    </w:rPr>
                    <w:t>离线清灰、内置旁通烟道及保温</w:t>
                  </w:r>
                </w:p>
              </w:tc>
              <w:tc>
                <w:tcPr>
                  <w:tcW w:w="749" w:type="pct"/>
                  <w:vAlign w:val="center"/>
                </w:tcPr>
                <w:p w14:paraId="21131BE9">
                  <w:pPr>
                    <w:widowControl w:val="0"/>
                    <w:overflowPunct w:val="0"/>
                    <w:autoSpaceDE w:val="0"/>
                    <w:autoSpaceDN w:val="0"/>
                    <w:snapToGrid w:val="0"/>
                    <w:jc w:val="center"/>
                    <w:rPr>
                      <w14:ligatures w14:val="standardContextual"/>
                    </w:rPr>
                  </w:pPr>
                  <w:r>
                    <w:rPr>
                      <w:rFonts w:hint="eastAsia"/>
                      <w14:ligatures w14:val="standardContextual"/>
                    </w:rPr>
                    <w:t>4</w:t>
                  </w:r>
                  <w:bookmarkStart w:id="79" w:name="OLE_LINK182"/>
                  <w:r>
                    <w:rPr>
                      <w:rFonts w:hint="eastAsia"/>
                      <w14:ligatures w14:val="standardContextual"/>
                    </w:rPr>
                    <w:t>台</w:t>
                  </w:r>
                  <w:bookmarkEnd w:id="79"/>
                </w:p>
              </w:tc>
            </w:tr>
            <w:tr w14:paraId="77A7F9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489" w:type="pct"/>
                  <w:vAlign w:val="center"/>
                </w:tcPr>
                <w:p w14:paraId="05242F75">
                  <w:pPr>
                    <w:pStyle w:val="68"/>
                    <w:widowControl w:val="0"/>
                    <w:numPr>
                      <w:ilvl w:val="0"/>
                      <w:numId w:val="2"/>
                    </w:numPr>
                    <w:overflowPunct w:val="0"/>
                    <w:autoSpaceDE w:val="0"/>
                    <w:autoSpaceDN w:val="0"/>
                    <w:snapToGrid w:val="0"/>
                    <w:ind w:firstLineChars="0"/>
                    <w:jc w:val="center"/>
                    <w:rPr>
                      <w14:ligatures w14:val="standardContextual"/>
                    </w:rPr>
                  </w:pPr>
                </w:p>
              </w:tc>
              <w:tc>
                <w:tcPr>
                  <w:tcW w:w="1248" w:type="pct"/>
                  <w:vAlign w:val="top"/>
                </w:tcPr>
                <w:p w14:paraId="583D471C">
                  <w:pPr>
                    <w:widowControl w:val="0"/>
                    <w:overflowPunct w:val="0"/>
                    <w:autoSpaceDE w:val="0"/>
                    <w:autoSpaceDN w:val="0"/>
                    <w:snapToGrid w:val="0"/>
                    <w:jc w:val="center"/>
                    <w:rPr>
                      <w14:ligatures w14:val="standardContextual"/>
                    </w:rPr>
                  </w:pPr>
                  <w:r>
                    <w:rPr>
                      <w:rFonts w:hint="eastAsia"/>
                      <w14:ligatures w14:val="standardContextual"/>
                    </w:rPr>
                    <w:t>引风机</w:t>
                  </w:r>
                </w:p>
              </w:tc>
              <w:tc>
                <w:tcPr>
                  <w:tcW w:w="2514" w:type="pct"/>
                  <w:vAlign w:val="top"/>
                </w:tcPr>
                <w:p w14:paraId="41DDF26F">
                  <w:pPr>
                    <w:widowControl w:val="0"/>
                    <w:overflowPunct w:val="0"/>
                    <w:autoSpaceDE w:val="0"/>
                    <w:autoSpaceDN w:val="0"/>
                    <w:snapToGrid w:val="0"/>
                    <w:jc w:val="center"/>
                    <w:rPr>
                      <w14:ligatures w14:val="standardContextual"/>
                    </w:rPr>
                  </w:pPr>
                  <w:r>
                    <w:rPr>
                      <w14:ligatures w14:val="standardContextual"/>
                    </w:rPr>
                    <w:t>4711Pa</w:t>
                  </w:r>
                  <w:r>
                    <w:rPr>
                      <w:rFonts w:hint="eastAsia"/>
                      <w14:ligatures w14:val="standardContextual"/>
                    </w:rPr>
                    <w:t>，</w:t>
                  </w:r>
                  <w:r>
                    <w:rPr>
                      <w14:ligatures w14:val="standardContextual"/>
                    </w:rPr>
                    <w:t>55kW|</w:t>
                  </w:r>
                  <w:r>
                    <w:rPr>
                      <w:rFonts w:hint="eastAsia"/>
                      <w14:ligatures w14:val="standardContextual"/>
                    </w:rPr>
                    <w:t>，室内</w:t>
                  </w:r>
                </w:p>
              </w:tc>
              <w:tc>
                <w:tcPr>
                  <w:tcW w:w="749" w:type="pct"/>
                  <w:vAlign w:val="center"/>
                </w:tcPr>
                <w:p w14:paraId="7AAA706D">
                  <w:pPr>
                    <w:widowControl w:val="0"/>
                    <w:overflowPunct w:val="0"/>
                    <w:autoSpaceDE w:val="0"/>
                    <w:autoSpaceDN w:val="0"/>
                    <w:snapToGrid w:val="0"/>
                    <w:jc w:val="center"/>
                    <w:rPr>
                      <w14:ligatures w14:val="standardContextual"/>
                    </w:rPr>
                  </w:pPr>
                  <w:r>
                    <w:rPr>
                      <w:rFonts w:hint="eastAsia"/>
                      <w14:ligatures w14:val="standardContextual"/>
                    </w:rPr>
                    <w:t>4台</w:t>
                  </w:r>
                </w:p>
              </w:tc>
            </w:tr>
            <w:tr w14:paraId="632F2F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5000" w:type="pct"/>
                  <w:gridSpan w:val="4"/>
                  <w:vAlign w:val="center"/>
                </w:tcPr>
                <w:p w14:paraId="5642FEA0">
                  <w:pPr>
                    <w:widowControl w:val="0"/>
                    <w:overflowPunct w:val="0"/>
                    <w:autoSpaceDE w:val="0"/>
                    <w:autoSpaceDN w:val="0"/>
                    <w:snapToGrid w:val="0"/>
                    <w:jc w:val="center"/>
                    <w:rPr>
                      <w14:ligatures w14:val="standardContextual"/>
                    </w:rPr>
                  </w:pPr>
                  <w:bookmarkStart w:id="80" w:name="OLE_LINK199"/>
                  <w:r>
                    <w:rPr>
                      <w:rFonts w:hint="eastAsia"/>
                      <w14:ligatures w14:val="standardContextual"/>
                    </w:rPr>
                    <w:t>软化水系统</w:t>
                  </w:r>
                  <w:bookmarkEnd w:id="80"/>
                </w:p>
              </w:tc>
            </w:tr>
            <w:tr w14:paraId="48634C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489" w:type="pct"/>
                  <w:vAlign w:val="center"/>
                </w:tcPr>
                <w:p w14:paraId="27C22D8B">
                  <w:pPr>
                    <w:pStyle w:val="68"/>
                    <w:widowControl w:val="0"/>
                    <w:numPr>
                      <w:ilvl w:val="0"/>
                      <w:numId w:val="2"/>
                    </w:numPr>
                    <w:overflowPunct w:val="0"/>
                    <w:autoSpaceDE w:val="0"/>
                    <w:autoSpaceDN w:val="0"/>
                    <w:snapToGrid w:val="0"/>
                    <w:ind w:firstLineChars="0"/>
                    <w:jc w:val="center"/>
                    <w:rPr>
                      <w14:ligatures w14:val="standardContextual"/>
                    </w:rPr>
                  </w:pPr>
                </w:p>
              </w:tc>
              <w:tc>
                <w:tcPr>
                  <w:tcW w:w="1248" w:type="pct"/>
                  <w:vAlign w:val="center"/>
                </w:tcPr>
                <w:p w14:paraId="5F59EE28">
                  <w:pPr>
                    <w:widowControl w:val="0"/>
                    <w:overflowPunct w:val="0"/>
                    <w:autoSpaceDE w:val="0"/>
                    <w:autoSpaceDN w:val="0"/>
                    <w:snapToGrid w:val="0"/>
                    <w:jc w:val="center"/>
                    <w:rPr>
                      <w14:ligatures w14:val="standardContextual"/>
                    </w:rPr>
                  </w:pPr>
                  <w:r>
                    <w:rPr>
                      <w:rFonts w:hint="eastAsia"/>
                      <w14:ligatures w14:val="standardContextual"/>
                    </w:rPr>
                    <w:t>除氧水泵</w:t>
                  </w:r>
                </w:p>
              </w:tc>
              <w:tc>
                <w:tcPr>
                  <w:tcW w:w="2514" w:type="pct"/>
                  <w:vAlign w:val="center"/>
                </w:tcPr>
                <w:p w14:paraId="18126B5F">
                  <w:pPr>
                    <w:widowControl w:val="0"/>
                    <w:overflowPunct w:val="0"/>
                    <w:autoSpaceDE w:val="0"/>
                    <w:autoSpaceDN w:val="0"/>
                    <w:snapToGrid w:val="0"/>
                    <w:jc w:val="center"/>
                    <w:rPr>
                      <w14:ligatures w14:val="standardContextual"/>
                    </w:rPr>
                  </w:pPr>
                  <w:r>
                    <w:rPr>
                      <w14:ligatures w14:val="standardContextual"/>
                    </w:rPr>
                    <w:t>TD80-18/2 7.5KW</w:t>
                  </w:r>
                </w:p>
              </w:tc>
              <w:tc>
                <w:tcPr>
                  <w:tcW w:w="749" w:type="pct"/>
                  <w:vAlign w:val="center"/>
                </w:tcPr>
                <w:p w14:paraId="15ADD223">
                  <w:pPr>
                    <w:widowControl w:val="0"/>
                    <w:overflowPunct w:val="0"/>
                    <w:autoSpaceDE w:val="0"/>
                    <w:autoSpaceDN w:val="0"/>
                    <w:snapToGrid w:val="0"/>
                    <w:jc w:val="center"/>
                    <w:rPr>
                      <w14:ligatures w14:val="standardContextual"/>
                    </w:rPr>
                  </w:pPr>
                  <w:r>
                    <w:rPr>
                      <w:rFonts w:hint="eastAsia"/>
                      <w14:ligatures w14:val="standardContextual"/>
                    </w:rPr>
                    <w:t>4台</w:t>
                  </w:r>
                </w:p>
              </w:tc>
            </w:tr>
            <w:tr w14:paraId="6C0BF1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20" w:hRule="atLeast"/>
                <w:jc w:val="center"/>
              </w:trPr>
              <w:tc>
                <w:tcPr>
                  <w:tcW w:w="489" w:type="pct"/>
                  <w:vAlign w:val="center"/>
                </w:tcPr>
                <w:p w14:paraId="58D25570">
                  <w:pPr>
                    <w:pStyle w:val="68"/>
                    <w:widowControl w:val="0"/>
                    <w:numPr>
                      <w:ilvl w:val="0"/>
                      <w:numId w:val="2"/>
                    </w:numPr>
                    <w:overflowPunct w:val="0"/>
                    <w:autoSpaceDE w:val="0"/>
                    <w:autoSpaceDN w:val="0"/>
                    <w:snapToGrid w:val="0"/>
                    <w:ind w:firstLineChars="0"/>
                    <w:jc w:val="center"/>
                    <w:rPr>
                      <w14:ligatures w14:val="standardContextual"/>
                    </w:rPr>
                  </w:pPr>
                </w:p>
              </w:tc>
              <w:tc>
                <w:tcPr>
                  <w:tcW w:w="1248" w:type="pct"/>
                  <w:vAlign w:val="center"/>
                </w:tcPr>
                <w:p w14:paraId="182499EF">
                  <w:pPr>
                    <w:widowControl w:val="0"/>
                    <w:overflowPunct w:val="0"/>
                    <w:autoSpaceDE w:val="0"/>
                    <w:autoSpaceDN w:val="0"/>
                    <w:snapToGrid w:val="0"/>
                    <w:jc w:val="center"/>
                    <w:rPr>
                      <w14:ligatures w14:val="standardContextual"/>
                    </w:rPr>
                  </w:pPr>
                  <w:r>
                    <w:rPr>
                      <w:rFonts w:hint="eastAsia"/>
                      <w14:ligatures w14:val="standardContextual"/>
                    </w:rPr>
                    <w:t>水处理系统</w:t>
                  </w:r>
                </w:p>
              </w:tc>
              <w:tc>
                <w:tcPr>
                  <w:tcW w:w="2514" w:type="pct"/>
                  <w:vAlign w:val="center"/>
                </w:tcPr>
                <w:p w14:paraId="4F321D0C">
                  <w:pPr>
                    <w:widowControl w:val="0"/>
                    <w:overflowPunct w:val="0"/>
                    <w:autoSpaceDE w:val="0"/>
                    <w:autoSpaceDN w:val="0"/>
                    <w:snapToGrid w:val="0"/>
                    <w:jc w:val="center"/>
                    <w:rPr>
                      <w:color w:val="auto"/>
                      <w:u w:val="single"/>
                      <w14:ligatures w14:val="standardContextual"/>
                    </w:rPr>
                  </w:pPr>
                  <w:bookmarkStart w:id="81" w:name="OLE_LINK200"/>
                  <w:r>
                    <w:rPr>
                      <w:rFonts w:hint="eastAsia"/>
                      <w:color w:val="auto"/>
                      <w:u w:val="single"/>
                      <w14:ligatures w14:val="standardContextual"/>
                    </w:rPr>
                    <w:t>离子交换系统（32t/h）</w:t>
                  </w:r>
                  <w:bookmarkEnd w:id="81"/>
                </w:p>
              </w:tc>
              <w:tc>
                <w:tcPr>
                  <w:tcW w:w="749" w:type="pct"/>
                  <w:vAlign w:val="center"/>
                </w:tcPr>
                <w:p w14:paraId="50912A2D">
                  <w:pPr>
                    <w:widowControl w:val="0"/>
                    <w:overflowPunct w:val="0"/>
                    <w:autoSpaceDE w:val="0"/>
                    <w:autoSpaceDN w:val="0"/>
                    <w:snapToGrid w:val="0"/>
                    <w:jc w:val="center"/>
                    <w:rPr>
                      <w:color w:val="auto"/>
                      <w:u w:val="single"/>
                      <w14:ligatures w14:val="standardContextual"/>
                    </w:rPr>
                  </w:pPr>
                  <w:r>
                    <w:rPr>
                      <w:rFonts w:hint="eastAsia"/>
                      <w:color w:val="auto"/>
                      <w:u w:val="single"/>
                      <w14:ligatures w14:val="standardContextual"/>
                    </w:rPr>
                    <w:t>1套</w:t>
                  </w:r>
                </w:p>
              </w:tc>
            </w:tr>
          </w:tbl>
          <w:p w14:paraId="3C690CC0">
            <w:pPr>
              <w:pStyle w:val="7"/>
            </w:pPr>
            <w:r>
              <w:rPr>
                <w:rFonts w:hint="eastAsia"/>
              </w:rPr>
              <w:t>六、主要原辅材料及燃料</w:t>
            </w:r>
          </w:p>
          <w:p w14:paraId="78C3B3F3">
            <w:pPr>
              <w:pStyle w:val="3"/>
              <w:ind w:firstLine="480"/>
            </w:pPr>
            <w:r>
              <w:rPr>
                <w:rFonts w:hint="eastAsia"/>
              </w:rPr>
              <w:t>根据建设单位提供资料，单台</w:t>
            </w:r>
            <w:bookmarkStart w:id="82" w:name="OLE_LINK219"/>
            <w:r>
              <w:rPr>
                <w:rFonts w:hint="eastAsia"/>
              </w:rPr>
              <w:t>8t/h生物质锅炉</w:t>
            </w:r>
            <w:bookmarkEnd w:id="82"/>
            <w:r>
              <w:rPr>
                <w:rFonts w:hint="eastAsia"/>
              </w:rPr>
              <w:t>燃料消耗量为1.6t/h，本项目设置4台8t/h生物质锅炉，年工作3960h，则生物质成型颗粒年用量为25344t。</w:t>
            </w:r>
          </w:p>
          <w:p w14:paraId="6AFA5E2E">
            <w:pPr>
              <w:pStyle w:val="49"/>
            </w:pPr>
            <w:bookmarkStart w:id="83" w:name="_Ref186111855"/>
            <w:r>
              <w:rPr>
                <w:rFonts w:hint="eastAsia"/>
              </w:rPr>
              <w:t xml:space="preserve">表2- </w:t>
            </w:r>
            <w:r>
              <w:t>3</w:t>
            </w:r>
            <w:r>
              <w:rPr>
                <w:rFonts w:hint="eastAsia"/>
              </w:rPr>
              <w:t>：主要原辅材料用量一览表</w:t>
            </w:r>
            <w:bookmarkEnd w:id="83"/>
          </w:p>
          <w:tbl>
            <w:tblPr>
              <w:tblStyle w:val="5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644"/>
              <w:gridCol w:w="1220"/>
              <w:gridCol w:w="1845"/>
              <w:gridCol w:w="647"/>
              <w:gridCol w:w="1404"/>
              <w:gridCol w:w="1411"/>
              <w:gridCol w:w="1206"/>
            </w:tblGrid>
            <w:tr w14:paraId="2A5F16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70" w:hRule="atLeast"/>
                <w:jc w:val="center"/>
              </w:trPr>
              <w:tc>
                <w:tcPr>
                  <w:tcW w:w="385" w:type="pct"/>
                  <w:tcBorders>
                    <w:top w:val="single" w:color="auto" w:sz="12" w:space="0"/>
                    <w:left w:val="nil"/>
                    <w:bottom w:val="single" w:color="auto" w:sz="12" w:space="0"/>
                    <w:right w:val="single" w:color="auto" w:sz="4" w:space="0"/>
                    <w:insideH w:val="single" w:sz="12" w:space="0"/>
                    <w:insideV w:val="single" w:sz="4" w:space="0"/>
                    <w:tl2br w:val="nil"/>
                    <w:tr2bl w:val="nil"/>
                  </w:tcBorders>
                  <w:vAlign w:val="center"/>
                </w:tcPr>
                <w:p w14:paraId="03C1E2A2">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z w:val="21"/>
                      <w:szCs w:val="21"/>
                      <w14:ligatures w14:val="standardContextual"/>
                    </w:rPr>
                  </w:pPr>
                  <w:r>
                    <w:rPr>
                      <w:rFonts w:hint="eastAsia" w:ascii="Times New Roman" w:hAnsi="Times New Roman" w:eastAsia="宋体" w:cs="Times New Roman"/>
                      <w:b/>
                      <w:i w:val="0"/>
                      <w:sz w:val="21"/>
                      <w:szCs w:val="21"/>
                      <w14:ligatures w14:val="standardContextual"/>
                    </w:rPr>
                    <w:t>序号</w:t>
                  </w:r>
                </w:p>
              </w:tc>
              <w:tc>
                <w:tcPr>
                  <w:tcW w:w="728"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40201633">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z w:val="21"/>
                      <w:szCs w:val="21"/>
                      <w14:ligatures w14:val="standardContextual"/>
                    </w:rPr>
                  </w:pPr>
                  <w:r>
                    <w:rPr>
                      <w:rFonts w:hint="eastAsia" w:ascii="Times New Roman" w:hAnsi="Times New Roman" w:eastAsia="宋体" w:cs="Times New Roman"/>
                      <w:b/>
                      <w:i w:val="0"/>
                      <w:sz w:val="21"/>
                      <w:szCs w:val="21"/>
                      <w14:ligatures w14:val="standardContextual"/>
                    </w:rPr>
                    <w:t>名称</w:t>
                  </w:r>
                </w:p>
              </w:tc>
              <w:tc>
                <w:tcPr>
                  <w:tcW w:w="1101"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65AAAD53">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z w:val="21"/>
                      <w:szCs w:val="21"/>
                      <w14:ligatures w14:val="standardContextual"/>
                    </w:rPr>
                  </w:pPr>
                  <w:r>
                    <w:rPr>
                      <w:rFonts w:hint="eastAsia" w:ascii="Times New Roman" w:hAnsi="Times New Roman" w:eastAsia="宋体" w:cs="Times New Roman"/>
                      <w:b/>
                      <w:i w:val="0"/>
                      <w:sz w:val="21"/>
                      <w:szCs w:val="21"/>
                      <w14:ligatures w14:val="standardContextual"/>
                    </w:rPr>
                    <w:t>质量控制指标</w:t>
                  </w:r>
                </w:p>
              </w:tc>
              <w:tc>
                <w:tcPr>
                  <w:tcW w:w="386"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5FC83C2A">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z w:val="21"/>
                      <w:szCs w:val="21"/>
                      <w14:ligatures w14:val="standardContextual"/>
                    </w:rPr>
                  </w:pPr>
                  <w:r>
                    <w:rPr>
                      <w:rFonts w:hint="eastAsia" w:ascii="Times New Roman" w:hAnsi="Times New Roman" w:eastAsia="宋体" w:cs="Times New Roman"/>
                      <w:b/>
                      <w:i w:val="0"/>
                      <w:sz w:val="21"/>
                      <w:szCs w:val="21"/>
                      <w14:ligatures w14:val="standardContextual"/>
                    </w:rPr>
                    <w:t>来源</w:t>
                  </w:r>
                </w:p>
              </w:tc>
              <w:tc>
                <w:tcPr>
                  <w:tcW w:w="838"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1FB9107E">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z w:val="21"/>
                      <w:szCs w:val="21"/>
                      <w14:ligatures w14:val="standardContextual"/>
                    </w:rPr>
                  </w:pPr>
                  <w:r>
                    <w:rPr>
                      <w:rFonts w:hint="eastAsia" w:ascii="Times New Roman" w:hAnsi="Times New Roman" w:eastAsia="宋体" w:cs="Times New Roman"/>
                      <w:b/>
                      <w:i w:val="0"/>
                      <w:sz w:val="21"/>
                      <w:szCs w:val="21"/>
                      <w14:ligatures w14:val="standardContextual"/>
                    </w:rPr>
                    <w:t>储存位置</w:t>
                  </w:r>
                </w:p>
              </w:tc>
              <w:tc>
                <w:tcPr>
                  <w:tcW w:w="842"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2A0088F5">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z w:val="21"/>
                      <w:szCs w:val="21"/>
                      <w14:ligatures w14:val="standardContextual"/>
                    </w:rPr>
                  </w:pPr>
                  <w:r>
                    <w:rPr>
                      <w:rFonts w:hint="eastAsia" w:ascii="Times New Roman" w:hAnsi="Times New Roman" w:eastAsia="宋体" w:cs="Times New Roman"/>
                      <w:b/>
                      <w:i w:val="0"/>
                      <w:sz w:val="21"/>
                      <w:szCs w:val="21"/>
                      <w14:ligatures w14:val="standardContextual"/>
                    </w:rPr>
                    <w:t>最大储存量</w:t>
                  </w:r>
                </w:p>
              </w:tc>
              <w:tc>
                <w:tcPr>
                  <w:tcW w:w="720" w:type="pct"/>
                  <w:tcBorders>
                    <w:top w:val="single" w:color="auto" w:sz="12" w:space="0"/>
                    <w:bottom w:val="single" w:color="auto" w:sz="12" w:space="0"/>
                    <w:right w:val="nil"/>
                    <w:insideH w:val="single" w:sz="12" w:space="0"/>
                    <w:insideV w:val="single" w:sz="4" w:space="0"/>
                    <w:tl2br w:val="nil"/>
                    <w:tr2bl w:val="nil"/>
                  </w:tcBorders>
                  <w:vAlign w:val="center"/>
                </w:tcPr>
                <w:p w14:paraId="7192DE17">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z w:val="21"/>
                      <w:szCs w:val="21"/>
                      <w14:ligatures w14:val="standardContextual"/>
                    </w:rPr>
                  </w:pPr>
                  <w:r>
                    <w:rPr>
                      <w:rFonts w:hint="eastAsia" w:ascii="Times New Roman" w:hAnsi="Times New Roman" w:eastAsia="宋体" w:cs="Times New Roman"/>
                      <w:b/>
                      <w:i w:val="0"/>
                      <w:sz w:val="21"/>
                      <w:szCs w:val="21"/>
                      <w14:ligatures w14:val="standardContextual"/>
                    </w:rPr>
                    <w:t>年用量</w:t>
                  </w:r>
                </w:p>
              </w:tc>
            </w:tr>
            <w:tr w14:paraId="7845C1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85" w:type="pct"/>
                  <w:vAlign w:val="center"/>
                </w:tcPr>
                <w:p w14:paraId="1CE7BB94">
                  <w:pPr>
                    <w:widowControl w:val="0"/>
                    <w:overflowPunct w:val="0"/>
                    <w:autoSpaceDE w:val="0"/>
                    <w:autoSpaceDN w:val="0"/>
                    <w:snapToGrid w:val="0"/>
                    <w:jc w:val="center"/>
                    <w:rPr>
                      <w14:ligatures w14:val="standardContextual"/>
                    </w:rPr>
                  </w:pPr>
                  <w:r>
                    <w:rPr>
                      <w14:ligatures w14:val="standardContextual"/>
                    </w:rPr>
                    <w:t>1</w:t>
                  </w:r>
                </w:p>
              </w:tc>
              <w:tc>
                <w:tcPr>
                  <w:tcW w:w="728" w:type="pct"/>
                  <w:vAlign w:val="center"/>
                </w:tcPr>
                <w:p w14:paraId="0113DF4E">
                  <w:pPr>
                    <w:widowControl w:val="0"/>
                    <w:overflowPunct w:val="0"/>
                    <w:autoSpaceDE w:val="0"/>
                    <w:autoSpaceDN w:val="0"/>
                    <w:snapToGrid w:val="0"/>
                    <w:jc w:val="center"/>
                    <w:rPr>
                      <w14:ligatures w14:val="standardContextual"/>
                    </w:rPr>
                  </w:pPr>
                  <w:r>
                    <w:rPr>
                      <w:rFonts w:hint="eastAsia"/>
                      <w14:ligatures w14:val="standardContextual"/>
                    </w:rPr>
                    <w:t>生物质成型颗粒</w:t>
                  </w:r>
                </w:p>
              </w:tc>
              <w:tc>
                <w:tcPr>
                  <w:tcW w:w="1101" w:type="pct"/>
                  <w:vAlign w:val="center"/>
                </w:tcPr>
                <w:p w14:paraId="6EAAB23C">
                  <w:pPr>
                    <w:widowControl w:val="0"/>
                    <w:overflowPunct w:val="0"/>
                    <w:autoSpaceDE w:val="0"/>
                    <w:autoSpaceDN w:val="0"/>
                    <w:snapToGrid w:val="0"/>
                    <w:jc w:val="center"/>
                    <w:rPr>
                      <w14:ligatures w14:val="standardContextual"/>
                    </w:rPr>
                  </w:pPr>
                  <w:r>
                    <w:rPr>
                      <w:rFonts w:hint="eastAsia"/>
                      <w14:ligatures w14:val="standardContextual"/>
                    </w:rPr>
                    <w:t>低位发热量≥3900</w:t>
                  </w:r>
                  <w:bookmarkStart w:id="84" w:name="OLE_LINK179"/>
                  <w:r>
                    <w:rPr>
                      <w:rFonts w:hint="eastAsia"/>
                      <w14:ligatures w14:val="standardContextual"/>
                    </w:rPr>
                    <w:t>Kcal/kg</w:t>
                  </w:r>
                  <w:bookmarkEnd w:id="84"/>
                  <w:r>
                    <w:rPr>
                      <w:rFonts w:hint="eastAsia"/>
                      <w14:ligatures w14:val="standardContextual"/>
                    </w:rPr>
                    <w:t>，干基全硫</w:t>
                  </w:r>
                  <w:bookmarkStart w:id="85" w:name="OLE_LINK178"/>
                  <w:r>
                    <w:rPr>
                      <w:rFonts w:hint="eastAsia"/>
                      <w14:ligatures w14:val="standardContextual"/>
                    </w:rPr>
                    <w:t>≤</w:t>
                  </w:r>
                  <w:bookmarkEnd w:id="85"/>
                  <w:r>
                    <w:rPr>
                      <w:rFonts w:hint="eastAsia"/>
                      <w14:ligatures w14:val="standardContextual"/>
                    </w:rPr>
                    <w:t>0.03%</w:t>
                  </w:r>
                </w:p>
              </w:tc>
              <w:tc>
                <w:tcPr>
                  <w:tcW w:w="386" w:type="pct"/>
                  <w:vMerge w:val="restart"/>
                  <w:vAlign w:val="center"/>
                </w:tcPr>
                <w:p w14:paraId="25849A70">
                  <w:pPr>
                    <w:widowControl w:val="0"/>
                    <w:overflowPunct w:val="0"/>
                    <w:autoSpaceDE w:val="0"/>
                    <w:autoSpaceDN w:val="0"/>
                    <w:snapToGrid w:val="0"/>
                    <w:jc w:val="center"/>
                    <w:rPr>
                      <w14:ligatures w14:val="standardContextual"/>
                    </w:rPr>
                  </w:pPr>
                  <w:r>
                    <w:rPr>
                      <w:rFonts w:hint="eastAsia"/>
                      <w14:ligatures w14:val="standardContextual"/>
                    </w:rPr>
                    <w:t>外购</w:t>
                  </w:r>
                </w:p>
              </w:tc>
              <w:tc>
                <w:tcPr>
                  <w:tcW w:w="838" w:type="pct"/>
                  <w:vAlign w:val="center"/>
                </w:tcPr>
                <w:p w14:paraId="6B25913A">
                  <w:pPr>
                    <w:widowControl w:val="0"/>
                    <w:overflowPunct w:val="0"/>
                    <w:autoSpaceDE w:val="0"/>
                    <w:autoSpaceDN w:val="0"/>
                    <w:snapToGrid w:val="0"/>
                    <w:jc w:val="center"/>
                    <w:rPr>
                      <w14:ligatures w14:val="standardContextual"/>
                    </w:rPr>
                  </w:pPr>
                  <w:r>
                    <w:rPr>
                      <w:rFonts w:hint="eastAsia"/>
                      <w14:ligatures w14:val="standardContextual"/>
                    </w:rPr>
                    <w:t>料仓</w:t>
                  </w:r>
                </w:p>
              </w:tc>
              <w:tc>
                <w:tcPr>
                  <w:tcW w:w="842" w:type="pct"/>
                  <w:vAlign w:val="center"/>
                </w:tcPr>
                <w:p w14:paraId="726A7233">
                  <w:pPr>
                    <w:widowControl w:val="0"/>
                    <w:overflowPunct w:val="0"/>
                    <w:autoSpaceDE w:val="0"/>
                    <w:autoSpaceDN w:val="0"/>
                    <w:snapToGrid w:val="0"/>
                    <w:jc w:val="center"/>
                    <w:rPr>
                      <w14:ligatures w14:val="standardContextual"/>
                    </w:rPr>
                  </w:pPr>
                  <w:r>
                    <w:rPr>
                      <w:rFonts w:hint="eastAsia"/>
                      <w14:ligatures w14:val="standardContextual"/>
                    </w:rPr>
                    <w:t>1200t</w:t>
                  </w:r>
                </w:p>
              </w:tc>
              <w:tc>
                <w:tcPr>
                  <w:tcW w:w="720" w:type="pct"/>
                  <w:vAlign w:val="center"/>
                </w:tcPr>
                <w:p w14:paraId="78ABF793">
                  <w:pPr>
                    <w:widowControl w:val="0"/>
                    <w:overflowPunct w:val="0"/>
                    <w:autoSpaceDE w:val="0"/>
                    <w:autoSpaceDN w:val="0"/>
                    <w:snapToGrid w:val="0"/>
                    <w:jc w:val="center"/>
                    <w:rPr>
                      <w14:ligatures w14:val="standardContextual"/>
                    </w:rPr>
                  </w:pPr>
                  <w:r>
                    <w:rPr>
                      <w:rFonts w:hint="eastAsia"/>
                      <w14:ligatures w14:val="standardContextual"/>
                    </w:rPr>
                    <w:t>25344t</w:t>
                  </w:r>
                </w:p>
              </w:tc>
            </w:tr>
            <w:tr w14:paraId="3A3E1E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85" w:type="pct"/>
                  <w:vAlign w:val="center"/>
                </w:tcPr>
                <w:p w14:paraId="0A913889">
                  <w:pPr>
                    <w:widowControl w:val="0"/>
                    <w:overflowPunct w:val="0"/>
                    <w:autoSpaceDE w:val="0"/>
                    <w:autoSpaceDN w:val="0"/>
                    <w:snapToGrid w:val="0"/>
                    <w:jc w:val="center"/>
                    <w:rPr>
                      <w14:ligatures w14:val="standardContextual"/>
                    </w:rPr>
                  </w:pPr>
                  <w:r>
                    <w:rPr>
                      <w:rFonts w:hint="eastAsia"/>
                      <w14:ligatures w14:val="standardContextual"/>
                    </w:rPr>
                    <w:t>2</w:t>
                  </w:r>
                </w:p>
              </w:tc>
              <w:tc>
                <w:tcPr>
                  <w:tcW w:w="728" w:type="pct"/>
                  <w:vAlign w:val="center"/>
                </w:tcPr>
                <w:p w14:paraId="00329233">
                  <w:pPr>
                    <w:widowControl w:val="0"/>
                    <w:overflowPunct w:val="0"/>
                    <w:autoSpaceDE w:val="0"/>
                    <w:autoSpaceDN w:val="0"/>
                    <w:snapToGrid w:val="0"/>
                    <w:jc w:val="center"/>
                    <w:rPr>
                      <w14:ligatures w14:val="standardContextual"/>
                    </w:rPr>
                  </w:pPr>
                  <w:r>
                    <w:rPr>
                      <w:rFonts w:hint="eastAsia"/>
                      <w14:ligatures w14:val="standardContextual"/>
                    </w:rPr>
                    <w:t>离子交换树脂</w:t>
                  </w:r>
                </w:p>
              </w:tc>
              <w:tc>
                <w:tcPr>
                  <w:tcW w:w="1101" w:type="pct"/>
                  <w:vAlign w:val="center"/>
                </w:tcPr>
                <w:p w14:paraId="2F1F6B5F">
                  <w:pPr>
                    <w:widowControl w:val="0"/>
                    <w:overflowPunct w:val="0"/>
                    <w:autoSpaceDE w:val="0"/>
                    <w:autoSpaceDN w:val="0"/>
                    <w:snapToGrid w:val="0"/>
                    <w:jc w:val="center"/>
                    <w:rPr>
                      <w14:ligatures w14:val="standardContextual"/>
                    </w:rPr>
                  </w:pPr>
                  <w:r>
                    <w:rPr>
                      <w:rFonts w:hint="eastAsia"/>
                      <w14:ligatures w14:val="standardContextual"/>
                    </w:rPr>
                    <w:t>/</w:t>
                  </w:r>
                </w:p>
              </w:tc>
              <w:tc>
                <w:tcPr>
                  <w:tcW w:w="386" w:type="pct"/>
                  <w:vMerge w:val="continue"/>
                  <w:vAlign w:val="center"/>
                </w:tcPr>
                <w:p w14:paraId="6366E1DE">
                  <w:pPr>
                    <w:widowControl w:val="0"/>
                    <w:overflowPunct w:val="0"/>
                    <w:autoSpaceDE w:val="0"/>
                    <w:autoSpaceDN w:val="0"/>
                    <w:snapToGrid w:val="0"/>
                    <w:jc w:val="center"/>
                    <w:rPr>
                      <w14:ligatures w14:val="standardContextual"/>
                    </w:rPr>
                  </w:pPr>
                </w:p>
              </w:tc>
              <w:tc>
                <w:tcPr>
                  <w:tcW w:w="838" w:type="pct"/>
                  <w:vAlign w:val="center"/>
                </w:tcPr>
                <w:p w14:paraId="7CF3FF60">
                  <w:pPr>
                    <w:widowControl w:val="0"/>
                    <w:overflowPunct w:val="0"/>
                    <w:autoSpaceDE w:val="0"/>
                    <w:autoSpaceDN w:val="0"/>
                    <w:snapToGrid w:val="0"/>
                    <w:jc w:val="center"/>
                    <w:rPr>
                      <w14:ligatures w14:val="standardContextual"/>
                    </w:rPr>
                  </w:pPr>
                  <w:r>
                    <w:rPr>
                      <w:rFonts w:hint="eastAsia"/>
                      <w14:ligatures w14:val="standardContextual"/>
                    </w:rPr>
                    <w:t>锅炉房</w:t>
                  </w:r>
                </w:p>
              </w:tc>
              <w:tc>
                <w:tcPr>
                  <w:tcW w:w="842" w:type="pct"/>
                  <w:vAlign w:val="center"/>
                </w:tcPr>
                <w:p w14:paraId="3798FE23">
                  <w:pPr>
                    <w:widowControl w:val="0"/>
                    <w:overflowPunct w:val="0"/>
                    <w:autoSpaceDE w:val="0"/>
                    <w:autoSpaceDN w:val="0"/>
                    <w:snapToGrid w:val="0"/>
                    <w:jc w:val="center"/>
                    <w:rPr>
                      <w14:ligatures w14:val="standardContextual"/>
                    </w:rPr>
                  </w:pPr>
                  <w:r>
                    <w:rPr>
                      <w:rFonts w:hint="eastAsia"/>
                      <w14:ligatures w14:val="standardContextual"/>
                    </w:rPr>
                    <w:t>0.5t</w:t>
                  </w:r>
                </w:p>
              </w:tc>
              <w:tc>
                <w:tcPr>
                  <w:tcW w:w="720" w:type="pct"/>
                  <w:vAlign w:val="center"/>
                </w:tcPr>
                <w:p w14:paraId="035A4CBA">
                  <w:pPr>
                    <w:widowControl w:val="0"/>
                    <w:overflowPunct w:val="0"/>
                    <w:autoSpaceDE w:val="0"/>
                    <w:autoSpaceDN w:val="0"/>
                    <w:snapToGrid w:val="0"/>
                    <w:jc w:val="center"/>
                    <w:rPr>
                      <w14:ligatures w14:val="standardContextual"/>
                    </w:rPr>
                  </w:pPr>
                  <w:r>
                    <w:rPr>
                      <w:rFonts w:hint="eastAsia"/>
                      <w14:ligatures w14:val="standardContextual"/>
                    </w:rPr>
                    <w:t>0.5t</w:t>
                  </w:r>
                </w:p>
              </w:tc>
            </w:tr>
          </w:tbl>
          <w:p w14:paraId="34391361">
            <w:pPr>
              <w:pStyle w:val="3"/>
              <w:ind w:firstLine="480"/>
            </w:pPr>
            <w:r>
              <w:rPr>
                <w:rFonts w:hint="eastAsia"/>
              </w:rPr>
              <w:t>选用燃料：生物质成型颗粒，发热量在3900-4800千卡/公斤（未经碳化的发热量），其主要供应来源钦州、北海、防城港等地附近的生物质颗粒制造企业。</w:t>
            </w:r>
            <w:bookmarkStart w:id="86" w:name="OLE_LINK3"/>
          </w:p>
          <w:bookmarkEnd w:id="86"/>
          <w:p w14:paraId="082695F3">
            <w:pPr>
              <w:pStyle w:val="3"/>
              <w:ind w:firstLine="480"/>
              <w:rPr>
                <w:color w:val="auto"/>
                <w:u w:val="single"/>
              </w:rPr>
            </w:pPr>
            <w:r>
              <w:rPr>
                <w:rFonts w:hint="eastAsia"/>
                <w:color w:val="auto"/>
                <w:u w:val="single"/>
              </w:rPr>
              <w:t>根据附件8生物质检测报告，燃料成份如下：</w:t>
            </w:r>
            <w:bookmarkStart w:id="87" w:name="OLE_LINK6"/>
          </w:p>
          <w:bookmarkEnd w:id="87"/>
          <w:p w14:paraId="27DC24F3">
            <w:pPr>
              <w:pStyle w:val="49"/>
              <w:rPr>
                <w:color w:val="auto"/>
                <w:u w:val="single"/>
              </w:rPr>
            </w:pPr>
            <w:bookmarkStart w:id="88" w:name="_Ref186453469"/>
            <w:bookmarkStart w:id="89" w:name="_Ref184219052"/>
            <w:r>
              <w:rPr>
                <w:rFonts w:hint="eastAsia"/>
                <w:color w:val="auto"/>
                <w:u w:val="single"/>
              </w:rPr>
              <w:t xml:space="preserve">表2- </w:t>
            </w:r>
            <w:r>
              <w:rPr>
                <w:color w:val="auto"/>
                <w:u w:val="single"/>
              </w:rPr>
              <w:t>4</w:t>
            </w:r>
            <w:bookmarkEnd w:id="88"/>
            <w:r>
              <w:rPr>
                <w:rFonts w:hint="eastAsia"/>
                <w:color w:val="auto"/>
                <w:u w:val="single"/>
              </w:rPr>
              <w:t>：</w:t>
            </w:r>
            <w:bookmarkStart w:id="90" w:name="_Ref186453493"/>
            <w:r>
              <w:rPr>
                <w:rFonts w:hint="eastAsia"/>
                <w:color w:val="auto"/>
                <w:u w:val="single"/>
              </w:rPr>
              <w:t>生物质成型颗粒成分一览表</w:t>
            </w:r>
            <w:bookmarkEnd w:id="89"/>
            <w:bookmarkEnd w:id="90"/>
          </w:p>
          <w:tbl>
            <w:tblPr>
              <w:tblStyle w:val="5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1285"/>
              <w:gridCol w:w="1437"/>
              <w:gridCol w:w="1437"/>
              <w:gridCol w:w="1437"/>
              <w:gridCol w:w="1190"/>
              <w:gridCol w:w="1591"/>
            </w:tblGrid>
            <w:tr w14:paraId="51071F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767" w:type="pct"/>
                  <w:tcBorders>
                    <w:top w:val="single" w:color="auto" w:sz="12" w:space="0"/>
                    <w:left w:val="nil"/>
                    <w:bottom w:val="single" w:color="auto" w:sz="12" w:space="0"/>
                    <w:right w:val="single" w:color="auto" w:sz="4" w:space="0"/>
                    <w:insideH w:val="single" w:sz="12" w:space="0"/>
                    <w:insideV w:val="single" w:sz="4" w:space="0"/>
                    <w:tl2br w:val="nil"/>
                    <w:tr2bl w:val="nil"/>
                  </w:tcBorders>
                  <w:vAlign w:val="center"/>
                </w:tcPr>
                <w:p w14:paraId="52DF2F86">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sz w:val="21"/>
                      <w:szCs w:val="21"/>
                      <w:u w:val="single"/>
                      <w14:ligatures w14:val="standardContextual"/>
                    </w:rPr>
                  </w:pPr>
                  <w:r>
                    <w:rPr>
                      <w:rFonts w:hint="eastAsia" w:ascii="Times New Roman" w:hAnsi="Times New Roman" w:eastAsia="宋体" w:cs="Times New Roman"/>
                      <w:b/>
                      <w:i w:val="0"/>
                      <w:color w:val="auto"/>
                      <w:sz w:val="21"/>
                      <w:szCs w:val="21"/>
                      <w:u w:val="single"/>
                      <w14:ligatures w14:val="standardContextual"/>
                    </w:rPr>
                    <w:t>项目</w:t>
                  </w:r>
                </w:p>
              </w:tc>
              <w:tc>
                <w:tcPr>
                  <w:tcW w:w="858"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572F021E">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sz w:val="21"/>
                      <w:szCs w:val="21"/>
                      <w:u w:val="single"/>
                      <w14:ligatures w14:val="standardContextual"/>
                    </w:rPr>
                  </w:pPr>
                  <w:r>
                    <w:rPr>
                      <w:rFonts w:hint="eastAsia" w:ascii="Times New Roman" w:hAnsi="Times New Roman" w:eastAsia="宋体" w:cs="Times New Roman"/>
                      <w:b/>
                      <w:i w:val="0"/>
                      <w:color w:val="auto"/>
                      <w:sz w:val="21"/>
                      <w:szCs w:val="21"/>
                      <w:u w:val="single"/>
                      <w14:ligatures w14:val="standardContextual"/>
                    </w:rPr>
                    <w:t>收到基水分</w:t>
                  </w:r>
                </w:p>
              </w:tc>
              <w:tc>
                <w:tcPr>
                  <w:tcW w:w="858"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41711BF4">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sz w:val="21"/>
                      <w:szCs w:val="21"/>
                      <w:u w:val="single"/>
                      <w14:ligatures w14:val="standardContextual"/>
                    </w:rPr>
                  </w:pPr>
                  <w:r>
                    <w:rPr>
                      <w:rFonts w:hint="eastAsia" w:ascii="Times New Roman" w:hAnsi="Times New Roman" w:eastAsia="宋体" w:cs="Times New Roman"/>
                      <w:b/>
                      <w:i w:val="0"/>
                      <w:color w:val="auto"/>
                      <w:sz w:val="21"/>
                      <w:szCs w:val="21"/>
                      <w:u w:val="single"/>
                      <w14:ligatures w14:val="standardContextual"/>
                    </w:rPr>
                    <w:t>挥发分</w:t>
                  </w:r>
                </w:p>
              </w:tc>
              <w:tc>
                <w:tcPr>
                  <w:tcW w:w="858"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2B4A3E6D">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sz w:val="21"/>
                      <w:szCs w:val="21"/>
                      <w:u w:val="single"/>
                      <w14:ligatures w14:val="standardContextual"/>
                    </w:rPr>
                  </w:pPr>
                  <w:r>
                    <w:rPr>
                      <w:rFonts w:hint="eastAsia" w:ascii="Times New Roman" w:hAnsi="Times New Roman" w:eastAsia="宋体" w:cs="Times New Roman"/>
                      <w:b/>
                      <w:i w:val="0"/>
                      <w:color w:val="auto"/>
                      <w:sz w:val="21"/>
                      <w:szCs w:val="21"/>
                      <w:u w:val="single"/>
                      <w14:ligatures w14:val="standardContextual"/>
                    </w:rPr>
                    <w:t>灰分</w:t>
                  </w:r>
                </w:p>
              </w:tc>
              <w:tc>
                <w:tcPr>
                  <w:tcW w:w="710"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5A49ACD2">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sz w:val="21"/>
                      <w:szCs w:val="21"/>
                      <w:u w:val="single"/>
                      <w14:ligatures w14:val="standardContextual"/>
                    </w:rPr>
                  </w:pPr>
                  <w:r>
                    <w:rPr>
                      <w:rFonts w:hint="eastAsia" w:ascii="Times New Roman" w:hAnsi="Times New Roman" w:eastAsia="宋体" w:cs="Times New Roman"/>
                      <w:b/>
                      <w:i w:val="0"/>
                      <w:color w:val="auto"/>
                      <w:sz w:val="21"/>
                      <w:szCs w:val="21"/>
                      <w:u w:val="single"/>
                      <w14:ligatures w14:val="standardContextual"/>
                    </w:rPr>
                    <w:t>全硫</w:t>
                  </w:r>
                </w:p>
              </w:tc>
              <w:tc>
                <w:tcPr>
                  <w:tcW w:w="949" w:type="pct"/>
                  <w:tcBorders>
                    <w:top w:val="single" w:color="auto" w:sz="12" w:space="0"/>
                    <w:bottom w:val="single" w:color="auto" w:sz="12" w:space="0"/>
                    <w:right w:val="nil"/>
                    <w:insideH w:val="single" w:sz="12" w:space="0"/>
                    <w:insideV w:val="single" w:sz="4" w:space="0"/>
                    <w:tl2br w:val="nil"/>
                    <w:tr2bl w:val="nil"/>
                  </w:tcBorders>
                  <w:vAlign w:val="center"/>
                </w:tcPr>
                <w:p w14:paraId="5777CA3B">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sz w:val="21"/>
                      <w:szCs w:val="21"/>
                      <w:u w:val="single"/>
                      <w14:ligatures w14:val="standardContextual"/>
                    </w:rPr>
                  </w:pPr>
                  <w:r>
                    <w:rPr>
                      <w:rFonts w:hint="eastAsia" w:ascii="Times New Roman" w:hAnsi="Times New Roman" w:eastAsia="宋体" w:cs="Times New Roman"/>
                      <w:b/>
                      <w:i w:val="0"/>
                      <w:color w:val="auto"/>
                      <w:sz w:val="21"/>
                      <w:szCs w:val="21"/>
                      <w:u w:val="single"/>
                      <w14:ligatures w14:val="standardContextual"/>
                    </w:rPr>
                    <w:t>低位发热量</w:t>
                  </w:r>
                </w:p>
              </w:tc>
            </w:tr>
            <w:tr w14:paraId="4420D8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767" w:type="pct"/>
                  <w:vAlign w:val="center"/>
                </w:tcPr>
                <w:p w14:paraId="194E6E6C">
                  <w:pPr>
                    <w:widowControl w:val="0"/>
                    <w:overflowPunct w:val="0"/>
                    <w:autoSpaceDE w:val="0"/>
                    <w:autoSpaceDN w:val="0"/>
                    <w:snapToGrid w:val="0"/>
                    <w:jc w:val="center"/>
                    <w:rPr>
                      <w:color w:val="auto"/>
                      <w:u w:val="single"/>
                      <w14:ligatures w14:val="standardContextual"/>
                    </w:rPr>
                  </w:pPr>
                  <w:r>
                    <w:rPr>
                      <w:rFonts w:hint="eastAsia"/>
                      <w:color w:val="auto"/>
                      <w:u w:val="single"/>
                      <w14:ligatures w14:val="standardContextual"/>
                    </w:rPr>
                    <w:t>占比</w:t>
                  </w:r>
                </w:p>
              </w:tc>
              <w:tc>
                <w:tcPr>
                  <w:tcW w:w="858" w:type="pct"/>
                  <w:vAlign w:val="center"/>
                </w:tcPr>
                <w:p w14:paraId="70EEF16F">
                  <w:pPr>
                    <w:widowControl w:val="0"/>
                    <w:overflowPunct w:val="0"/>
                    <w:autoSpaceDE w:val="0"/>
                    <w:autoSpaceDN w:val="0"/>
                    <w:snapToGrid w:val="0"/>
                    <w:jc w:val="center"/>
                    <w:rPr>
                      <w:color w:val="auto"/>
                      <w:u w:val="single"/>
                      <w14:ligatures w14:val="standardContextual"/>
                    </w:rPr>
                  </w:pPr>
                  <w:r>
                    <w:rPr>
                      <w:rFonts w:hint="eastAsia"/>
                      <w:color w:val="auto"/>
                      <w:u w:val="single"/>
                      <w14:ligatures w14:val="standardContextual"/>
                    </w:rPr>
                    <w:t>7.2%</w:t>
                  </w:r>
                </w:p>
              </w:tc>
              <w:tc>
                <w:tcPr>
                  <w:tcW w:w="858" w:type="pct"/>
                  <w:vAlign w:val="center"/>
                </w:tcPr>
                <w:p w14:paraId="19B1251D">
                  <w:pPr>
                    <w:widowControl w:val="0"/>
                    <w:overflowPunct w:val="0"/>
                    <w:autoSpaceDE w:val="0"/>
                    <w:autoSpaceDN w:val="0"/>
                    <w:snapToGrid w:val="0"/>
                    <w:jc w:val="center"/>
                    <w:rPr>
                      <w:color w:val="auto"/>
                      <w:u w:val="single"/>
                      <w14:ligatures w14:val="standardContextual"/>
                    </w:rPr>
                  </w:pPr>
                  <w:r>
                    <w:rPr>
                      <w:rFonts w:hint="eastAsia"/>
                      <w:color w:val="auto"/>
                      <w:u w:val="single"/>
                      <w14:ligatures w14:val="standardContextual"/>
                    </w:rPr>
                    <w:t>77.74%</w:t>
                  </w:r>
                </w:p>
              </w:tc>
              <w:tc>
                <w:tcPr>
                  <w:tcW w:w="858" w:type="pct"/>
                  <w:vAlign w:val="center"/>
                </w:tcPr>
                <w:p w14:paraId="3BE991B1">
                  <w:pPr>
                    <w:widowControl w:val="0"/>
                    <w:overflowPunct w:val="0"/>
                    <w:autoSpaceDE w:val="0"/>
                    <w:autoSpaceDN w:val="0"/>
                    <w:snapToGrid w:val="0"/>
                    <w:jc w:val="center"/>
                    <w:rPr>
                      <w:color w:val="auto"/>
                      <w:u w:val="single"/>
                      <w14:ligatures w14:val="standardContextual"/>
                    </w:rPr>
                  </w:pPr>
                  <w:r>
                    <w:rPr>
                      <w:rFonts w:hint="eastAsia"/>
                      <w:color w:val="auto"/>
                      <w:u w:val="single"/>
                      <w14:ligatures w14:val="standardContextual"/>
                    </w:rPr>
                    <w:t>1.98%</w:t>
                  </w:r>
                </w:p>
              </w:tc>
              <w:tc>
                <w:tcPr>
                  <w:tcW w:w="710" w:type="pct"/>
                  <w:vAlign w:val="center"/>
                </w:tcPr>
                <w:p w14:paraId="0A870A12">
                  <w:pPr>
                    <w:widowControl w:val="0"/>
                    <w:overflowPunct w:val="0"/>
                    <w:autoSpaceDE w:val="0"/>
                    <w:autoSpaceDN w:val="0"/>
                    <w:snapToGrid w:val="0"/>
                    <w:jc w:val="center"/>
                    <w:rPr>
                      <w:color w:val="auto"/>
                      <w:u w:val="single"/>
                      <w14:ligatures w14:val="standardContextual"/>
                    </w:rPr>
                  </w:pPr>
                  <w:r>
                    <w:rPr>
                      <w:rFonts w:hint="eastAsia"/>
                      <w:color w:val="auto"/>
                      <w:u w:val="single"/>
                      <w14:ligatures w14:val="standardContextual"/>
                    </w:rPr>
                    <w:t>0.03%</w:t>
                  </w:r>
                </w:p>
              </w:tc>
              <w:tc>
                <w:tcPr>
                  <w:tcW w:w="949" w:type="pct"/>
                  <w:vAlign w:val="center"/>
                </w:tcPr>
                <w:p w14:paraId="799A150D">
                  <w:pPr>
                    <w:widowControl w:val="0"/>
                    <w:overflowPunct w:val="0"/>
                    <w:autoSpaceDE w:val="0"/>
                    <w:autoSpaceDN w:val="0"/>
                    <w:snapToGrid w:val="0"/>
                    <w:jc w:val="center"/>
                    <w:rPr>
                      <w:color w:val="auto"/>
                      <w:u w:val="single"/>
                      <w14:ligatures w14:val="standardContextual"/>
                    </w:rPr>
                  </w:pPr>
                  <w:r>
                    <w:rPr>
                      <w:rFonts w:hint="eastAsia"/>
                      <w:color w:val="auto"/>
                      <w:u w:val="single"/>
                      <w14:ligatures w14:val="standardContextual"/>
                    </w:rPr>
                    <w:t>4056Kcal/kg</w:t>
                  </w:r>
                </w:p>
              </w:tc>
            </w:tr>
          </w:tbl>
          <w:p w14:paraId="404DFDE6">
            <w:pPr>
              <w:pStyle w:val="7"/>
            </w:pPr>
            <w:r>
              <w:rPr>
                <w:rFonts w:hint="eastAsia"/>
              </w:rPr>
              <w:t>七、劳动定员及工作制度</w:t>
            </w:r>
          </w:p>
          <w:p w14:paraId="1E0233BB">
            <w:pPr>
              <w:pStyle w:val="3"/>
              <w:ind w:firstLine="480"/>
            </w:pPr>
            <w:r>
              <w:rPr>
                <w:rFonts w:hint="eastAsia"/>
              </w:rPr>
              <w:t>本项目为马来西亚中小企业集聚区标准厂房及配套设施建设项目的子工程，</w:t>
            </w:r>
            <w:bookmarkStart w:id="91" w:name="OLE_LINK181"/>
            <w:r>
              <w:rPr>
                <w:rFonts w:hint="eastAsia"/>
              </w:rPr>
              <w:t>生活配套等建筑不在本项目范围内</w:t>
            </w:r>
            <w:bookmarkEnd w:id="91"/>
            <w:r>
              <w:rPr>
                <w:rFonts w:hint="eastAsia"/>
              </w:rPr>
              <w:t>。本项目劳动定员仅考虑锅炉运行人员，共定员20人。</w:t>
            </w:r>
          </w:p>
          <w:p w14:paraId="53A2CEF5">
            <w:pPr>
              <w:pStyle w:val="3"/>
              <w:ind w:firstLine="480"/>
            </w:pPr>
            <w:r>
              <w:rPr>
                <w:rFonts w:hint="eastAsia"/>
              </w:rPr>
              <w:t>本项目锅炉房每天运行12h，年运行时间为年工作330天，共</w:t>
            </w:r>
            <w:bookmarkStart w:id="92" w:name="OLE_LINK220"/>
            <w:r>
              <w:rPr>
                <w:rFonts w:hint="eastAsia"/>
              </w:rPr>
              <w:t>3960h/a</w:t>
            </w:r>
            <w:bookmarkEnd w:id="92"/>
            <w:r>
              <w:rPr>
                <w:rFonts w:hint="eastAsia"/>
              </w:rPr>
              <w:t>。</w:t>
            </w:r>
          </w:p>
          <w:p w14:paraId="2AC3FCD0">
            <w:pPr>
              <w:pStyle w:val="7"/>
            </w:pPr>
            <w:r>
              <w:rPr>
                <w:rFonts w:hint="eastAsia"/>
              </w:rPr>
              <w:t>八、水平衡分析</w:t>
            </w:r>
          </w:p>
          <w:p w14:paraId="0A144237">
            <w:pPr>
              <w:pStyle w:val="3"/>
              <w:ind w:firstLine="482"/>
              <w:rPr>
                <w:b/>
                <w:bCs/>
              </w:rPr>
            </w:pPr>
            <w:r>
              <w:rPr>
                <w:rFonts w:hint="eastAsia"/>
                <w:b/>
                <w:bCs/>
              </w:rPr>
              <w:t>（1）用水</w:t>
            </w:r>
          </w:p>
          <w:p w14:paraId="72D40BF4">
            <w:pPr>
              <w:pStyle w:val="3"/>
              <w:ind w:firstLine="480"/>
            </w:pPr>
            <w:r>
              <w:rPr>
                <w:rFonts w:hint="eastAsia"/>
              </w:rPr>
              <w:t>本项目不涉及生活配套建筑，生活用水仅考虑锅炉运行人员生活用水，生产用水只涉及软水制备用水和锅炉用水。</w:t>
            </w:r>
          </w:p>
          <w:p w14:paraId="0CA6A18D">
            <w:pPr>
              <w:pStyle w:val="3"/>
              <w:ind w:firstLine="480"/>
            </w:pPr>
            <w:r>
              <w:rPr>
                <w:rFonts w:hint="eastAsia"/>
              </w:rPr>
              <w:t>①生活用水</w:t>
            </w:r>
          </w:p>
          <w:p w14:paraId="7316DC99">
            <w:pPr>
              <w:pStyle w:val="3"/>
              <w:ind w:firstLine="480"/>
            </w:pPr>
            <w:r>
              <w:rPr>
                <w:rFonts w:hint="eastAsia"/>
              </w:rPr>
              <w:t>根据建设单位提供资料，本项目员工均不在厂内食宿。本项目锅炉运行职工人数20人，项目年运行330天。根据《建筑给水排水设计标准》（GB50015-2019），职工生活用水取50L/（d·人）。则职工生活用水量为1.0 m</w:t>
            </w:r>
            <w:r>
              <w:rPr>
                <w:rFonts w:hint="eastAsia"/>
                <w:vertAlign w:val="superscript"/>
              </w:rPr>
              <w:t>3</w:t>
            </w:r>
            <w:r>
              <w:rPr>
                <w:rFonts w:hint="eastAsia"/>
              </w:rPr>
              <w:t>/d，330 m</w:t>
            </w:r>
            <w:r>
              <w:rPr>
                <w:rFonts w:hint="eastAsia"/>
                <w:vertAlign w:val="superscript"/>
              </w:rPr>
              <w:t>3</w:t>
            </w:r>
            <w:r>
              <w:rPr>
                <w:rFonts w:hint="eastAsia"/>
              </w:rPr>
              <w:t>/a。</w:t>
            </w:r>
          </w:p>
          <w:p w14:paraId="116111C2">
            <w:pPr>
              <w:pStyle w:val="3"/>
              <w:ind w:firstLine="480"/>
            </w:pPr>
            <w:r>
              <w:rPr>
                <w:rFonts w:hint="eastAsia"/>
              </w:rPr>
              <w:t>②生产用水</w:t>
            </w:r>
          </w:p>
          <w:p w14:paraId="0B74597B">
            <w:pPr>
              <w:pStyle w:val="3"/>
              <w:ind w:firstLine="480"/>
            </w:pPr>
            <w:r>
              <w:rPr>
                <w:rFonts w:hint="eastAsia"/>
              </w:rPr>
              <w:t>项目生物质锅炉采用2套32t/h软水处理设备（1用1备）制备锅炉软化水，炉内软水经加热成蒸汽经管道送至周边企业使用，锅炉软化水用水量为32m</w:t>
            </w:r>
            <w:r>
              <w:rPr>
                <w:rFonts w:hint="eastAsia"/>
                <w:vertAlign w:val="superscript"/>
              </w:rPr>
              <w:t>3</w:t>
            </w:r>
            <w:r>
              <w:rPr>
                <w:rFonts w:hint="eastAsia"/>
              </w:rPr>
              <w:t>/h（126720m</w:t>
            </w:r>
            <w:r>
              <w:rPr>
                <w:rFonts w:hint="eastAsia"/>
                <w:vertAlign w:val="superscript"/>
              </w:rPr>
              <w:t>3</w:t>
            </w:r>
            <w:r>
              <w:rPr>
                <w:rFonts w:hint="eastAsia"/>
              </w:rPr>
              <w:t>/a）。此外锅炉定期</w:t>
            </w:r>
            <w:bookmarkStart w:id="93" w:name="OLE_LINK233"/>
            <w:r>
              <w:rPr>
                <w:rFonts w:hint="eastAsia"/>
              </w:rPr>
              <w:t>排污</w:t>
            </w:r>
            <w:bookmarkEnd w:id="93"/>
            <w:r>
              <w:rPr>
                <w:rFonts w:hint="eastAsia"/>
              </w:rPr>
              <w:t>，每月一次，每次用水量约为1m</w:t>
            </w:r>
            <w:r>
              <w:rPr>
                <w:rFonts w:hint="eastAsia"/>
                <w:vertAlign w:val="superscript"/>
              </w:rPr>
              <w:t>3</w:t>
            </w:r>
            <w:r>
              <w:rPr>
                <w:rFonts w:hint="eastAsia"/>
              </w:rPr>
              <w:t>，则清洗排污年用软水量为</w:t>
            </w:r>
            <w:bookmarkStart w:id="94" w:name="OLE_LINK75"/>
            <w:r>
              <w:rPr>
                <w:rFonts w:hint="eastAsia"/>
              </w:rPr>
              <w:t>12</w:t>
            </w:r>
            <w:bookmarkStart w:id="95" w:name="OLE_LINK234"/>
            <w:bookmarkStart w:id="96" w:name="OLE_LINK240"/>
            <w:r>
              <w:rPr>
                <w:rFonts w:hint="eastAsia"/>
              </w:rPr>
              <w:t>m</w:t>
            </w:r>
            <w:r>
              <w:rPr>
                <w:rFonts w:hint="eastAsia"/>
                <w:vertAlign w:val="superscript"/>
              </w:rPr>
              <w:t>3</w:t>
            </w:r>
            <w:bookmarkEnd w:id="95"/>
            <w:r>
              <w:rPr>
                <w:rFonts w:hint="eastAsia"/>
              </w:rPr>
              <w:t>/a</w:t>
            </w:r>
            <w:bookmarkEnd w:id="94"/>
            <w:bookmarkEnd w:id="96"/>
            <w:r>
              <w:rPr>
                <w:rFonts w:hint="eastAsia"/>
              </w:rPr>
              <w:t>，产生锅炉排污水（</w:t>
            </w:r>
            <w:r>
              <w:rPr>
                <w:rFonts w:hint="eastAsia"/>
                <w:b/>
                <w:bCs/>
              </w:rPr>
              <w:t>W2</w:t>
            </w:r>
            <w:r>
              <w:rPr>
                <w:rFonts w:hint="eastAsia"/>
              </w:rPr>
              <w:t>）12m</w:t>
            </w:r>
            <w:r>
              <w:rPr>
                <w:rFonts w:hint="eastAsia"/>
                <w:vertAlign w:val="superscript"/>
              </w:rPr>
              <w:t>3</w:t>
            </w:r>
            <w:r>
              <w:rPr>
                <w:rFonts w:hint="eastAsia"/>
              </w:rPr>
              <w:t>/a。项目年用软水量合计为126732m</w:t>
            </w:r>
            <w:r>
              <w:rPr>
                <w:rFonts w:hint="eastAsia"/>
                <w:vertAlign w:val="superscript"/>
              </w:rPr>
              <w:t>3</w:t>
            </w:r>
            <w:r>
              <w:rPr>
                <w:rFonts w:hint="eastAsia"/>
              </w:rPr>
              <w:t>/a。</w:t>
            </w:r>
          </w:p>
          <w:p w14:paraId="08DDCFD6">
            <w:pPr>
              <w:pStyle w:val="3"/>
              <w:ind w:firstLine="480"/>
            </w:pPr>
            <w:r>
              <w:rPr>
                <w:rFonts w:hint="eastAsia"/>
              </w:rPr>
              <w:t>项目应用离子交换树脂进行水处理软化时，离子交换树脂可以将其本身所具有的Na</w:t>
            </w:r>
            <w:r>
              <w:rPr>
                <w:rFonts w:hint="eastAsia"/>
                <w:vertAlign w:val="superscript"/>
              </w:rPr>
              <w:t>+</w:t>
            </w:r>
            <w:r>
              <w:rPr>
                <w:rFonts w:hint="eastAsia"/>
              </w:rPr>
              <w:t>离子和水中同符号电荷的Ca</w:t>
            </w:r>
            <w:r>
              <w:rPr>
                <w:rFonts w:hint="eastAsia"/>
                <w:vertAlign w:val="superscript"/>
              </w:rPr>
              <w:t>2+</w:t>
            </w:r>
            <w:r>
              <w:rPr>
                <w:rFonts w:hint="eastAsia"/>
              </w:rPr>
              <w:t>、Mg</w:t>
            </w:r>
            <w:r>
              <w:rPr>
                <w:rFonts w:hint="eastAsia"/>
                <w:vertAlign w:val="superscript"/>
              </w:rPr>
              <w:t>2+</w:t>
            </w:r>
            <w:r>
              <w:rPr>
                <w:rFonts w:hint="eastAsia"/>
              </w:rPr>
              <w:t>离子相互交换去除水中硬度达到软化水的目的，因此软水制备过程中损耗较小，根据企业提供数据，</w:t>
            </w:r>
            <w:r>
              <w:rPr>
                <w:rFonts w:hint="eastAsia"/>
                <w:color w:val="auto"/>
                <w:u w:val="single"/>
              </w:rPr>
              <w:t>软水制备效率约为75%，则项目需使用168976.00m</w:t>
            </w:r>
            <w:r>
              <w:rPr>
                <w:rFonts w:hint="eastAsia"/>
                <w:color w:val="auto"/>
                <w:u w:val="single"/>
                <w:vertAlign w:val="superscript"/>
              </w:rPr>
              <w:t>3</w:t>
            </w:r>
            <w:r>
              <w:rPr>
                <w:rFonts w:hint="eastAsia"/>
                <w:color w:val="auto"/>
                <w:u w:val="single"/>
              </w:rPr>
              <w:t>/a新鲜水制备软水，可得126732m</w:t>
            </w:r>
            <w:r>
              <w:rPr>
                <w:rFonts w:hint="eastAsia"/>
                <w:color w:val="auto"/>
                <w:u w:val="single"/>
                <w:vertAlign w:val="superscript"/>
              </w:rPr>
              <w:t>3</w:t>
            </w:r>
            <w:r>
              <w:rPr>
                <w:rFonts w:hint="eastAsia"/>
                <w:color w:val="auto"/>
                <w:u w:val="single"/>
              </w:rPr>
              <w:t>/a的软水及42244.00 m</w:t>
            </w:r>
            <w:r>
              <w:rPr>
                <w:rFonts w:hint="eastAsia"/>
                <w:color w:val="auto"/>
                <w:u w:val="single"/>
                <w:vertAlign w:val="superscript"/>
              </w:rPr>
              <w:t>3</w:t>
            </w:r>
            <w:r>
              <w:rPr>
                <w:rFonts w:hint="eastAsia"/>
                <w:color w:val="auto"/>
                <w:u w:val="single"/>
              </w:rPr>
              <w:t>/a的软化制备废水（</w:t>
            </w:r>
            <w:r>
              <w:rPr>
                <w:rFonts w:hint="eastAsia"/>
                <w:b/>
                <w:bCs/>
                <w:color w:val="auto"/>
                <w:u w:val="single"/>
              </w:rPr>
              <w:t>W1</w:t>
            </w:r>
            <w:r>
              <w:rPr>
                <w:rFonts w:hint="eastAsia"/>
                <w:color w:val="auto"/>
                <w:u w:val="single"/>
              </w:rPr>
              <w:t>）。</w:t>
            </w:r>
          </w:p>
          <w:p w14:paraId="6B2A00FB">
            <w:pPr>
              <w:pStyle w:val="3"/>
              <w:ind w:firstLine="482"/>
              <w:rPr>
                <w:b/>
                <w:bCs/>
              </w:rPr>
            </w:pPr>
            <w:r>
              <w:rPr>
                <w:rFonts w:hint="eastAsia"/>
                <w:b/>
                <w:bCs/>
              </w:rPr>
              <w:t>（2）排水</w:t>
            </w:r>
          </w:p>
          <w:p w14:paraId="3396D83A">
            <w:pPr>
              <w:pStyle w:val="3"/>
              <w:ind w:firstLine="480"/>
            </w:pPr>
            <w:r>
              <w:rPr>
                <w:rFonts w:hint="eastAsia"/>
              </w:rPr>
              <w:t>本项目排水为雨污分流，园区设有雨污水管道。</w:t>
            </w:r>
          </w:p>
          <w:p w14:paraId="73528261">
            <w:pPr>
              <w:pStyle w:val="3"/>
              <w:ind w:firstLine="480"/>
            </w:pPr>
            <w:r>
              <w:rPr>
                <w:rFonts w:hint="eastAsia"/>
              </w:rPr>
              <w:t>生活污水量按用水量的80%计，则生活污水的排水量为0.80 m</w:t>
            </w:r>
            <w:r>
              <w:rPr>
                <w:rFonts w:hint="eastAsia"/>
                <w:vertAlign w:val="superscript"/>
              </w:rPr>
              <w:t>3</w:t>
            </w:r>
            <w:r>
              <w:rPr>
                <w:rFonts w:hint="eastAsia"/>
              </w:rPr>
              <w:t>/d，264 m</w:t>
            </w:r>
            <w:r>
              <w:rPr>
                <w:rFonts w:hint="eastAsia"/>
                <w:vertAlign w:val="superscript"/>
              </w:rPr>
              <w:t>3</w:t>
            </w:r>
            <w:r>
              <w:rPr>
                <w:rFonts w:hint="eastAsia"/>
              </w:rPr>
              <w:t>/a。生活污水经化粪池处理后经园区污水管网进入大榄坪污水处理厂处理。</w:t>
            </w:r>
          </w:p>
          <w:p w14:paraId="1CD6DB52">
            <w:pPr>
              <w:pStyle w:val="3"/>
              <w:ind w:firstLine="480"/>
            </w:pPr>
            <w:r>
              <w:rPr>
                <w:rFonts w:hint="eastAsia"/>
              </w:rPr>
              <w:t>项目生产废水主要为</w:t>
            </w:r>
            <w:bookmarkStart w:id="97" w:name="OLE_LINK302"/>
            <w:r>
              <w:rPr>
                <w:rFonts w:hint="eastAsia"/>
              </w:rPr>
              <w:t>W1软水制备废水</w:t>
            </w:r>
            <w:bookmarkEnd w:id="97"/>
            <w:r>
              <w:rPr>
                <w:rFonts w:hint="eastAsia"/>
              </w:rPr>
              <w:t>、W2锅炉排污水，根据上文分析，锅炉排污水产生量为12m</w:t>
            </w:r>
            <w:r>
              <w:rPr>
                <w:rFonts w:hint="eastAsia"/>
                <w:vertAlign w:val="superscript"/>
              </w:rPr>
              <w:t>3</w:t>
            </w:r>
            <w:r>
              <w:rPr>
                <w:rFonts w:hint="eastAsia"/>
              </w:rPr>
              <w:t>/a，</w:t>
            </w:r>
            <w:r>
              <w:rPr>
                <w:rFonts w:hint="eastAsia"/>
                <w:color w:val="auto"/>
                <w:u w:val="single"/>
              </w:rPr>
              <w:t>软水制备废水产生量为42244.00 m</w:t>
            </w:r>
            <w:r>
              <w:rPr>
                <w:rFonts w:hint="eastAsia"/>
                <w:color w:val="auto"/>
                <w:u w:val="single"/>
                <w:vertAlign w:val="superscript"/>
              </w:rPr>
              <w:t>3</w:t>
            </w:r>
            <w:r>
              <w:rPr>
                <w:rFonts w:hint="eastAsia"/>
                <w:color w:val="auto"/>
                <w:u w:val="single"/>
              </w:rPr>
              <w:t>/a，生产废水产生量合计为</w:t>
            </w:r>
            <w:bookmarkStart w:id="98" w:name="OLE_LINK94"/>
            <w:r>
              <w:rPr>
                <w:rFonts w:hint="eastAsia"/>
                <w:color w:val="auto"/>
                <w:u w:val="single"/>
              </w:rPr>
              <w:t>42256.00</w:t>
            </w:r>
            <w:bookmarkEnd w:id="98"/>
            <w:r>
              <w:rPr>
                <w:rFonts w:hint="eastAsia"/>
                <w:color w:val="auto"/>
                <w:u w:val="single"/>
              </w:rPr>
              <w:t xml:space="preserve"> m</w:t>
            </w:r>
            <w:r>
              <w:rPr>
                <w:rFonts w:hint="eastAsia"/>
                <w:color w:val="auto"/>
                <w:u w:val="single"/>
                <w:vertAlign w:val="superscript"/>
              </w:rPr>
              <w:t>3</w:t>
            </w:r>
            <w:r>
              <w:rPr>
                <w:rFonts w:hint="eastAsia"/>
                <w:color w:val="auto"/>
                <w:u w:val="single"/>
              </w:rPr>
              <w:t>/a（128.1 m</w:t>
            </w:r>
            <w:r>
              <w:rPr>
                <w:rFonts w:hint="eastAsia"/>
                <w:color w:val="auto"/>
                <w:u w:val="single"/>
                <w:vertAlign w:val="superscript"/>
              </w:rPr>
              <w:t>3</w:t>
            </w:r>
            <w:r>
              <w:rPr>
                <w:rFonts w:hint="eastAsia"/>
                <w:color w:val="auto"/>
                <w:u w:val="single"/>
              </w:rPr>
              <w:t>/d）。</w:t>
            </w:r>
            <w:r>
              <w:rPr>
                <w:rFonts w:hint="eastAsia"/>
              </w:rPr>
              <w:t>生产废水</w:t>
            </w:r>
            <w:bookmarkStart w:id="99" w:name="OLE_LINK64"/>
            <w:r>
              <w:rPr>
                <w:rFonts w:hint="eastAsia"/>
              </w:rPr>
              <w:t>直接经园区污水管网进入大榄坪污水处理厂处理</w:t>
            </w:r>
            <w:bookmarkEnd w:id="99"/>
            <w:r>
              <w:rPr>
                <w:rFonts w:hint="eastAsia"/>
              </w:rPr>
              <w:t>。</w:t>
            </w:r>
          </w:p>
          <w:p w14:paraId="66C15DD9">
            <w:pPr>
              <w:pStyle w:val="3"/>
              <w:ind w:firstLine="480"/>
            </w:pPr>
            <w:r>
              <w:rPr>
                <w:rFonts w:hint="eastAsia"/>
              </w:rPr>
              <w:t>本项目建成后全厂水平衡如下：</w:t>
            </w:r>
          </w:p>
          <w:p w14:paraId="2A42B020">
            <w:pPr>
              <w:pStyle w:val="49"/>
            </w:pPr>
            <w:bookmarkStart w:id="100" w:name="OLE_LINK41"/>
            <w:bookmarkStart w:id="101" w:name="_Ref176881275"/>
            <w:r>
              <w:rPr>
                <w:rFonts w:hint="eastAsia"/>
              </w:rPr>
              <w:t xml:space="preserve">表2- </w:t>
            </w:r>
            <w:r>
              <w:t>5</w:t>
            </w:r>
            <w:r>
              <w:rPr>
                <w:rFonts w:hint="eastAsia"/>
              </w:rPr>
              <w:t>：</w:t>
            </w:r>
            <w:bookmarkEnd w:id="100"/>
            <w:r>
              <w:rPr>
                <w:rFonts w:hint="eastAsia"/>
              </w:rPr>
              <w:t>水平衡表（单位m³/a）</w:t>
            </w:r>
            <w:bookmarkEnd w:id="101"/>
          </w:p>
          <w:tbl>
            <w:tblPr>
              <w:tblStyle w:val="5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494"/>
              <w:gridCol w:w="1752"/>
              <w:gridCol w:w="1236"/>
              <w:gridCol w:w="1216"/>
              <w:gridCol w:w="1017"/>
              <w:gridCol w:w="1105"/>
              <w:gridCol w:w="1557"/>
            </w:tblGrid>
            <w:tr w14:paraId="3AE6E4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15" w:hRule="atLeast"/>
                <w:jc w:val="center"/>
              </w:trPr>
              <w:tc>
                <w:tcPr>
                  <w:tcW w:w="295" w:type="pct"/>
                  <w:vMerge w:val="restart"/>
                  <w:tcBorders>
                    <w:top w:val="single" w:color="auto" w:sz="12" w:space="0"/>
                    <w:left w:val="nil"/>
                    <w:bottom w:val="single" w:color="auto" w:sz="12" w:space="0"/>
                    <w:right w:val="single" w:color="auto" w:sz="4" w:space="0"/>
                    <w:insideH w:val="single" w:sz="12" w:space="0"/>
                    <w:insideV w:val="single" w:sz="4" w:space="0"/>
                    <w:tl2br w:val="nil"/>
                    <w:tr2bl w:val="nil"/>
                  </w:tcBorders>
                  <w:vAlign w:val="center"/>
                </w:tcPr>
                <w:p w14:paraId="13EEFD31">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z w:val="21"/>
                      <w:szCs w:val="21"/>
                      <w14:ligatures w14:val="standardContextual"/>
                    </w:rPr>
                  </w:pPr>
                  <w:r>
                    <w:rPr>
                      <w:rFonts w:hint="eastAsia" w:ascii="Times New Roman" w:hAnsi="Times New Roman" w:eastAsia="宋体" w:cs="Times New Roman"/>
                      <w:b/>
                      <w:i w:val="0"/>
                      <w:sz w:val="21"/>
                      <w:szCs w:val="21"/>
                      <w14:ligatures w14:val="standardContextual"/>
                    </w:rPr>
                    <w:t>序号</w:t>
                  </w:r>
                </w:p>
              </w:tc>
              <w:tc>
                <w:tcPr>
                  <w:tcW w:w="1046" w:type="pct"/>
                  <w:vMerge w:val="restar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5273ED3C">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z w:val="21"/>
                      <w:szCs w:val="21"/>
                      <w14:ligatures w14:val="standardContextual"/>
                    </w:rPr>
                  </w:pPr>
                  <w:r>
                    <w:rPr>
                      <w:rFonts w:hint="eastAsia" w:ascii="Times New Roman" w:hAnsi="Times New Roman" w:eastAsia="宋体" w:cs="Times New Roman"/>
                      <w:b/>
                      <w:i w:val="0"/>
                      <w:sz w:val="21"/>
                      <w:szCs w:val="21"/>
                      <w14:ligatures w14:val="standardContextual"/>
                    </w:rPr>
                    <w:t>项目</w:t>
                  </w:r>
                </w:p>
              </w:tc>
              <w:tc>
                <w:tcPr>
                  <w:tcW w:w="1464" w:type="pct"/>
                  <w:gridSpan w:val="2"/>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5455E1E6">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z w:val="21"/>
                      <w:szCs w:val="21"/>
                      <w14:ligatures w14:val="standardContextual"/>
                    </w:rPr>
                  </w:pPr>
                  <w:r>
                    <w:rPr>
                      <w:rFonts w:hint="eastAsia" w:ascii="Times New Roman" w:hAnsi="Times New Roman" w:eastAsia="宋体" w:cs="Times New Roman"/>
                      <w:b/>
                      <w:i w:val="0"/>
                      <w:sz w:val="21"/>
                      <w:szCs w:val="21"/>
                      <w14:ligatures w14:val="standardContextual"/>
                    </w:rPr>
                    <w:t>用水</w:t>
                  </w:r>
                </w:p>
              </w:tc>
              <w:tc>
                <w:tcPr>
                  <w:tcW w:w="2196" w:type="pct"/>
                  <w:gridSpan w:val="3"/>
                  <w:tcBorders>
                    <w:top w:val="single" w:color="auto" w:sz="12" w:space="0"/>
                    <w:bottom w:val="single" w:color="auto" w:sz="12" w:space="0"/>
                    <w:right w:val="nil"/>
                    <w:insideH w:val="single" w:sz="12" w:space="0"/>
                    <w:insideV w:val="single" w:sz="4" w:space="0"/>
                    <w:tl2br w:val="nil"/>
                    <w:tr2bl w:val="nil"/>
                  </w:tcBorders>
                  <w:vAlign w:val="center"/>
                </w:tcPr>
                <w:p w14:paraId="7D9838F9">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z w:val="21"/>
                      <w:szCs w:val="21"/>
                      <w14:ligatures w14:val="standardContextual"/>
                    </w:rPr>
                  </w:pPr>
                  <w:r>
                    <w:rPr>
                      <w:rFonts w:hint="eastAsia" w:ascii="Times New Roman" w:hAnsi="Times New Roman" w:eastAsia="宋体" w:cs="Times New Roman"/>
                      <w:b/>
                      <w:i w:val="0"/>
                      <w:sz w:val="21"/>
                      <w:szCs w:val="21"/>
                      <w14:ligatures w14:val="standardContextual"/>
                    </w:rPr>
                    <w:t>排水</w:t>
                  </w:r>
                </w:p>
              </w:tc>
            </w:tr>
            <w:tr w14:paraId="3C27FE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15" w:hRule="atLeast"/>
                <w:jc w:val="center"/>
              </w:trPr>
              <w:tc>
                <w:tcPr>
                  <w:tcW w:w="295" w:type="pct"/>
                  <w:vMerge w:val="continue"/>
                  <w:vAlign w:val="center"/>
                </w:tcPr>
                <w:p w14:paraId="46DCEB38">
                  <w:pPr>
                    <w:widowControl w:val="0"/>
                    <w:overflowPunct w:val="0"/>
                    <w:autoSpaceDE w:val="0"/>
                    <w:autoSpaceDN w:val="0"/>
                    <w:snapToGrid w:val="0"/>
                    <w:jc w:val="center"/>
                    <w:rPr>
                      <w14:ligatures w14:val="standardContextual"/>
                    </w:rPr>
                  </w:pPr>
                </w:p>
              </w:tc>
              <w:tc>
                <w:tcPr>
                  <w:tcW w:w="1046" w:type="pct"/>
                  <w:vMerge w:val="continue"/>
                  <w:vAlign w:val="center"/>
                </w:tcPr>
                <w:p w14:paraId="2438A62D">
                  <w:pPr>
                    <w:widowControl w:val="0"/>
                    <w:overflowPunct w:val="0"/>
                    <w:autoSpaceDE w:val="0"/>
                    <w:autoSpaceDN w:val="0"/>
                    <w:snapToGrid w:val="0"/>
                    <w:jc w:val="center"/>
                    <w:rPr>
                      <w14:ligatures w14:val="standardContextual"/>
                    </w:rPr>
                  </w:pPr>
                </w:p>
              </w:tc>
              <w:tc>
                <w:tcPr>
                  <w:tcW w:w="738" w:type="pct"/>
                  <w:vAlign w:val="center"/>
                </w:tcPr>
                <w:p w14:paraId="74664CA7">
                  <w:pPr>
                    <w:widowControl w:val="0"/>
                    <w:overflowPunct w:val="0"/>
                    <w:autoSpaceDE w:val="0"/>
                    <w:autoSpaceDN w:val="0"/>
                    <w:snapToGrid w:val="0"/>
                    <w:jc w:val="center"/>
                    <w:rPr>
                      <w14:ligatures w14:val="standardContextual"/>
                    </w:rPr>
                  </w:pPr>
                  <w:r>
                    <w:rPr>
                      <w:rFonts w:hint="eastAsia"/>
                      <w14:ligatures w14:val="standardContextual"/>
                    </w:rPr>
                    <w:t>新水量</w:t>
                  </w:r>
                </w:p>
              </w:tc>
              <w:tc>
                <w:tcPr>
                  <w:tcW w:w="726" w:type="pct"/>
                  <w:vAlign w:val="center"/>
                </w:tcPr>
                <w:p w14:paraId="13979DDA">
                  <w:pPr>
                    <w:widowControl w:val="0"/>
                    <w:overflowPunct w:val="0"/>
                    <w:autoSpaceDE w:val="0"/>
                    <w:autoSpaceDN w:val="0"/>
                    <w:snapToGrid w:val="0"/>
                    <w:jc w:val="center"/>
                    <w:rPr>
                      <w14:ligatures w14:val="standardContextual"/>
                    </w:rPr>
                  </w:pPr>
                  <w:bookmarkStart w:id="102" w:name="OLE_LINK185"/>
                  <w:r>
                    <w:rPr>
                      <w:rFonts w:hint="eastAsia"/>
                      <w14:ligatures w14:val="standardContextual"/>
                    </w:rPr>
                    <w:t>软水</w:t>
                  </w:r>
                  <w:bookmarkEnd w:id="102"/>
                </w:p>
              </w:tc>
              <w:tc>
                <w:tcPr>
                  <w:tcW w:w="607" w:type="pct"/>
                  <w:vAlign w:val="center"/>
                </w:tcPr>
                <w:p w14:paraId="3A8F7F59">
                  <w:pPr>
                    <w:widowControl w:val="0"/>
                    <w:overflowPunct w:val="0"/>
                    <w:autoSpaceDE w:val="0"/>
                    <w:autoSpaceDN w:val="0"/>
                    <w:snapToGrid w:val="0"/>
                    <w:jc w:val="center"/>
                    <w:rPr>
                      <w14:ligatures w14:val="standardContextual"/>
                    </w:rPr>
                  </w:pPr>
                  <w:r>
                    <w:rPr>
                      <w:rFonts w:hint="eastAsia"/>
                      <w14:ligatures w14:val="standardContextual"/>
                    </w:rPr>
                    <w:t>软水</w:t>
                  </w:r>
                </w:p>
              </w:tc>
              <w:tc>
                <w:tcPr>
                  <w:tcW w:w="659" w:type="pct"/>
                  <w:noWrap/>
                  <w:vAlign w:val="center"/>
                </w:tcPr>
                <w:p w14:paraId="2E155A4A">
                  <w:pPr>
                    <w:widowControl w:val="0"/>
                    <w:overflowPunct w:val="0"/>
                    <w:autoSpaceDE w:val="0"/>
                    <w:autoSpaceDN w:val="0"/>
                    <w:snapToGrid w:val="0"/>
                    <w:jc w:val="center"/>
                    <w:rPr>
                      <w:rFonts w:hint="eastAsia" w:ascii="等线" w:hAnsi="等线"/>
                      <w:sz w:val="22"/>
                      <w:szCs w:val="22"/>
                      <w14:ligatures w14:val="standardContextual"/>
                    </w:rPr>
                  </w:pPr>
                  <w:r>
                    <w:rPr>
                      <w:rFonts w:hint="eastAsia" w:ascii="等线" w:hAnsi="等线"/>
                      <w:sz w:val="22"/>
                      <w:szCs w:val="22"/>
                      <w14:ligatures w14:val="standardContextual"/>
                    </w:rPr>
                    <w:t>消耗量</w:t>
                  </w:r>
                </w:p>
              </w:tc>
              <w:tc>
                <w:tcPr>
                  <w:tcW w:w="929" w:type="pct"/>
                  <w:vAlign w:val="center"/>
                </w:tcPr>
                <w:p w14:paraId="0435A460">
                  <w:pPr>
                    <w:widowControl w:val="0"/>
                    <w:overflowPunct w:val="0"/>
                    <w:autoSpaceDE w:val="0"/>
                    <w:autoSpaceDN w:val="0"/>
                    <w:snapToGrid w:val="0"/>
                    <w:jc w:val="center"/>
                    <w:rPr>
                      <w14:ligatures w14:val="standardContextual"/>
                    </w:rPr>
                  </w:pPr>
                  <w:r>
                    <w:rPr>
                      <w:rFonts w:hint="eastAsia"/>
                      <w14:ligatures w14:val="standardContextual"/>
                    </w:rPr>
                    <w:t>排水量</w:t>
                  </w:r>
                </w:p>
              </w:tc>
            </w:tr>
            <w:tr w14:paraId="219A81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00" w:hRule="atLeast"/>
                <w:jc w:val="center"/>
              </w:trPr>
              <w:tc>
                <w:tcPr>
                  <w:tcW w:w="295" w:type="pct"/>
                  <w:vAlign w:val="center"/>
                </w:tcPr>
                <w:p w14:paraId="7873CEB1">
                  <w:pPr>
                    <w:widowControl w:val="0"/>
                    <w:overflowPunct w:val="0"/>
                    <w:autoSpaceDE w:val="0"/>
                    <w:autoSpaceDN w:val="0"/>
                    <w:snapToGrid w:val="0"/>
                    <w:jc w:val="center"/>
                    <w:rPr>
                      <w14:ligatures w14:val="standardContextual"/>
                    </w:rPr>
                  </w:pPr>
                  <w:r>
                    <w:rPr>
                      <w:rFonts w:hint="eastAsia"/>
                      <w14:ligatures w14:val="standardContextual"/>
                    </w:rPr>
                    <w:t>1</w:t>
                  </w:r>
                </w:p>
              </w:tc>
              <w:tc>
                <w:tcPr>
                  <w:tcW w:w="1046" w:type="pct"/>
                  <w:vAlign w:val="center"/>
                </w:tcPr>
                <w:p w14:paraId="0DCD4D4C">
                  <w:pPr>
                    <w:widowControl w:val="0"/>
                    <w:overflowPunct w:val="0"/>
                    <w:autoSpaceDE w:val="0"/>
                    <w:autoSpaceDN w:val="0"/>
                    <w:snapToGrid w:val="0"/>
                    <w:jc w:val="center"/>
                    <w:rPr>
                      <w14:ligatures w14:val="standardContextual"/>
                    </w:rPr>
                  </w:pPr>
                  <w:r>
                    <w:rPr>
                      <w:rFonts w:hint="eastAsia"/>
                      <w14:ligatures w14:val="standardContextual"/>
                    </w:rPr>
                    <w:t>生活用水</w:t>
                  </w:r>
                </w:p>
              </w:tc>
              <w:tc>
                <w:tcPr>
                  <w:tcW w:w="738" w:type="pct"/>
                  <w:vAlign w:val="center"/>
                </w:tcPr>
                <w:p w14:paraId="181B0CCB">
                  <w:pPr>
                    <w:widowControl w:val="0"/>
                    <w:overflowPunct w:val="0"/>
                    <w:autoSpaceDE w:val="0"/>
                    <w:autoSpaceDN w:val="0"/>
                    <w:snapToGrid w:val="0"/>
                    <w:jc w:val="center"/>
                    <w:rPr>
                      <w14:ligatures w14:val="standardContextual"/>
                    </w:rPr>
                  </w:pPr>
                  <w:r>
                    <w:rPr>
                      <w:rFonts w:hint="eastAsia"/>
                      <w14:ligatures w14:val="standardContextual"/>
                    </w:rPr>
                    <w:t xml:space="preserve">330.0 </w:t>
                  </w:r>
                </w:p>
              </w:tc>
              <w:tc>
                <w:tcPr>
                  <w:tcW w:w="726" w:type="pct"/>
                  <w:vAlign w:val="center"/>
                </w:tcPr>
                <w:p w14:paraId="60C6735A">
                  <w:pPr>
                    <w:widowControl w:val="0"/>
                    <w:overflowPunct w:val="0"/>
                    <w:autoSpaceDE w:val="0"/>
                    <w:autoSpaceDN w:val="0"/>
                    <w:snapToGrid w:val="0"/>
                    <w:jc w:val="center"/>
                    <w:rPr>
                      <w14:ligatures w14:val="standardContextual"/>
                    </w:rPr>
                  </w:pPr>
                  <w:r>
                    <w:rPr>
                      <w:rFonts w:hint="eastAsia"/>
                      <w14:ligatures w14:val="standardContextual"/>
                    </w:rPr>
                    <w:t>0</w:t>
                  </w:r>
                </w:p>
              </w:tc>
              <w:tc>
                <w:tcPr>
                  <w:tcW w:w="607" w:type="pct"/>
                  <w:vAlign w:val="center"/>
                </w:tcPr>
                <w:p w14:paraId="384438F5">
                  <w:pPr>
                    <w:widowControl w:val="0"/>
                    <w:overflowPunct w:val="0"/>
                    <w:autoSpaceDE w:val="0"/>
                    <w:autoSpaceDN w:val="0"/>
                    <w:snapToGrid w:val="0"/>
                    <w:jc w:val="center"/>
                    <w:rPr>
                      <w14:ligatures w14:val="standardContextual"/>
                    </w:rPr>
                  </w:pPr>
                  <w:r>
                    <w:rPr>
                      <w:rFonts w:hint="eastAsia"/>
                      <w14:ligatures w14:val="standardContextual"/>
                    </w:rPr>
                    <w:t>0</w:t>
                  </w:r>
                </w:p>
              </w:tc>
              <w:tc>
                <w:tcPr>
                  <w:tcW w:w="659" w:type="pct"/>
                  <w:noWrap/>
                  <w:vAlign w:val="center"/>
                </w:tcPr>
                <w:p w14:paraId="2C49F31C">
                  <w:pPr>
                    <w:widowControl w:val="0"/>
                    <w:overflowPunct w:val="0"/>
                    <w:autoSpaceDE w:val="0"/>
                    <w:autoSpaceDN w:val="0"/>
                    <w:snapToGrid w:val="0"/>
                    <w:jc w:val="center"/>
                    <w:rPr>
                      <w14:ligatures w14:val="standardContextual"/>
                    </w:rPr>
                  </w:pPr>
                  <w:r>
                    <w:rPr>
                      <w:rFonts w:hint="eastAsia"/>
                      <w14:ligatures w14:val="standardContextual"/>
                    </w:rPr>
                    <w:t xml:space="preserve">66 </w:t>
                  </w:r>
                </w:p>
              </w:tc>
              <w:tc>
                <w:tcPr>
                  <w:tcW w:w="929" w:type="pct"/>
                  <w:vAlign w:val="center"/>
                </w:tcPr>
                <w:p w14:paraId="2C00466D">
                  <w:pPr>
                    <w:widowControl w:val="0"/>
                    <w:overflowPunct w:val="0"/>
                    <w:autoSpaceDE w:val="0"/>
                    <w:autoSpaceDN w:val="0"/>
                    <w:snapToGrid w:val="0"/>
                    <w:jc w:val="center"/>
                    <w:rPr>
                      <w14:ligatures w14:val="standardContextual"/>
                    </w:rPr>
                  </w:pPr>
                  <w:r>
                    <w:rPr>
                      <w:rFonts w:hint="eastAsia"/>
                      <w14:ligatures w14:val="standardContextual"/>
                    </w:rPr>
                    <w:t xml:space="preserve">264 </w:t>
                  </w:r>
                </w:p>
              </w:tc>
            </w:tr>
            <w:tr w14:paraId="02788E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00" w:hRule="atLeast"/>
                <w:jc w:val="center"/>
              </w:trPr>
              <w:tc>
                <w:tcPr>
                  <w:tcW w:w="295" w:type="pct"/>
                  <w:vAlign w:val="center"/>
                </w:tcPr>
                <w:p w14:paraId="769F7267">
                  <w:pPr>
                    <w:widowControl w:val="0"/>
                    <w:overflowPunct w:val="0"/>
                    <w:autoSpaceDE w:val="0"/>
                    <w:autoSpaceDN w:val="0"/>
                    <w:snapToGrid w:val="0"/>
                    <w:jc w:val="center"/>
                    <w:rPr>
                      <w14:ligatures w14:val="standardContextual"/>
                    </w:rPr>
                  </w:pPr>
                  <w:r>
                    <w:rPr>
                      <w:rFonts w:hint="eastAsia"/>
                      <w14:ligatures w14:val="standardContextual"/>
                    </w:rPr>
                    <w:t>2</w:t>
                  </w:r>
                </w:p>
              </w:tc>
              <w:tc>
                <w:tcPr>
                  <w:tcW w:w="1046" w:type="pct"/>
                  <w:vAlign w:val="center"/>
                </w:tcPr>
                <w:p w14:paraId="5DF4D69F">
                  <w:pPr>
                    <w:widowControl w:val="0"/>
                    <w:overflowPunct w:val="0"/>
                    <w:autoSpaceDE w:val="0"/>
                    <w:autoSpaceDN w:val="0"/>
                    <w:snapToGrid w:val="0"/>
                    <w:jc w:val="center"/>
                    <w:rPr>
                      <w14:ligatures w14:val="standardContextual"/>
                    </w:rPr>
                  </w:pPr>
                  <w:r>
                    <w:rPr>
                      <w:rFonts w:hint="eastAsia"/>
                      <w14:ligatures w14:val="standardContextual"/>
                    </w:rPr>
                    <w:t>软水制备用水</w:t>
                  </w:r>
                </w:p>
              </w:tc>
              <w:tc>
                <w:tcPr>
                  <w:tcW w:w="738" w:type="pct"/>
                  <w:vAlign w:val="center"/>
                </w:tcPr>
                <w:p w14:paraId="1D6121F6">
                  <w:pPr>
                    <w:widowControl w:val="0"/>
                    <w:overflowPunct w:val="0"/>
                    <w:autoSpaceDE w:val="0"/>
                    <w:autoSpaceDN w:val="0"/>
                    <w:snapToGrid w:val="0"/>
                    <w:jc w:val="center"/>
                    <w:rPr>
                      <w:color w:val="auto"/>
                      <w:u w:val="single"/>
                      <w14:ligatures w14:val="standardContextual"/>
                    </w:rPr>
                  </w:pPr>
                  <w:r>
                    <w:rPr>
                      <w:rFonts w:hint="eastAsia"/>
                      <w:color w:val="auto"/>
                      <w:u w:val="single"/>
                      <w14:ligatures w14:val="standardContextual"/>
                    </w:rPr>
                    <w:t>168976.00</w:t>
                  </w:r>
                </w:p>
              </w:tc>
              <w:tc>
                <w:tcPr>
                  <w:tcW w:w="726" w:type="pct"/>
                  <w:vAlign w:val="center"/>
                </w:tcPr>
                <w:p w14:paraId="3260957D">
                  <w:pPr>
                    <w:widowControl w:val="0"/>
                    <w:overflowPunct w:val="0"/>
                    <w:autoSpaceDE w:val="0"/>
                    <w:autoSpaceDN w:val="0"/>
                    <w:snapToGrid w:val="0"/>
                    <w:jc w:val="center"/>
                    <w:rPr>
                      <w:color w:val="auto"/>
                      <w:u w:val="single"/>
                      <w14:ligatures w14:val="standardContextual"/>
                    </w:rPr>
                  </w:pPr>
                  <w:r>
                    <w:rPr>
                      <w:rFonts w:hint="eastAsia"/>
                      <w:color w:val="auto"/>
                      <w:u w:val="single"/>
                      <w14:ligatures w14:val="standardContextual"/>
                    </w:rPr>
                    <w:t>0</w:t>
                  </w:r>
                </w:p>
              </w:tc>
              <w:tc>
                <w:tcPr>
                  <w:tcW w:w="607" w:type="pct"/>
                  <w:vAlign w:val="center"/>
                </w:tcPr>
                <w:p w14:paraId="3E539BF3">
                  <w:pPr>
                    <w:widowControl w:val="0"/>
                    <w:overflowPunct w:val="0"/>
                    <w:autoSpaceDE w:val="0"/>
                    <w:autoSpaceDN w:val="0"/>
                    <w:snapToGrid w:val="0"/>
                    <w:jc w:val="center"/>
                    <w:rPr>
                      <w:color w:val="auto"/>
                      <w:u w:val="single"/>
                      <w14:ligatures w14:val="standardContextual"/>
                    </w:rPr>
                  </w:pPr>
                  <w:bookmarkStart w:id="103" w:name="OLE_LINK186"/>
                  <w:r>
                    <w:rPr>
                      <w:rFonts w:hint="eastAsia"/>
                      <w:color w:val="auto"/>
                      <w:u w:val="single"/>
                      <w14:ligatures w14:val="standardContextual"/>
                    </w:rPr>
                    <w:t>126732</w:t>
                  </w:r>
                  <w:bookmarkEnd w:id="103"/>
                </w:p>
              </w:tc>
              <w:tc>
                <w:tcPr>
                  <w:tcW w:w="659" w:type="pct"/>
                  <w:noWrap/>
                  <w:vAlign w:val="center"/>
                </w:tcPr>
                <w:p w14:paraId="28929451">
                  <w:pPr>
                    <w:widowControl w:val="0"/>
                    <w:overflowPunct w:val="0"/>
                    <w:autoSpaceDE w:val="0"/>
                    <w:autoSpaceDN w:val="0"/>
                    <w:snapToGrid w:val="0"/>
                    <w:jc w:val="center"/>
                    <w:rPr>
                      <w:color w:val="auto"/>
                      <w:u w:val="single"/>
                      <w14:ligatures w14:val="standardContextual"/>
                    </w:rPr>
                  </w:pPr>
                  <w:r>
                    <w:rPr>
                      <w:rFonts w:hint="eastAsia"/>
                      <w:color w:val="auto"/>
                      <w:u w:val="single"/>
                      <w14:ligatures w14:val="standardContextual"/>
                    </w:rPr>
                    <w:t>0</w:t>
                  </w:r>
                </w:p>
              </w:tc>
              <w:tc>
                <w:tcPr>
                  <w:tcW w:w="929" w:type="pct"/>
                  <w:vAlign w:val="center"/>
                </w:tcPr>
                <w:p w14:paraId="1A50B581">
                  <w:pPr>
                    <w:widowControl w:val="0"/>
                    <w:overflowPunct w:val="0"/>
                    <w:autoSpaceDE w:val="0"/>
                    <w:autoSpaceDN w:val="0"/>
                    <w:snapToGrid w:val="0"/>
                    <w:jc w:val="center"/>
                    <w:rPr>
                      <w:color w:val="auto"/>
                      <w:u w:val="single"/>
                      <w14:ligatures w14:val="standardContextual"/>
                    </w:rPr>
                  </w:pPr>
                  <w:r>
                    <w:rPr>
                      <w:rFonts w:hint="eastAsia"/>
                      <w:color w:val="auto"/>
                      <w:u w:val="single"/>
                      <w14:ligatures w14:val="standardContextual"/>
                    </w:rPr>
                    <w:t xml:space="preserve">42244.00 </w:t>
                  </w:r>
                </w:p>
              </w:tc>
            </w:tr>
            <w:tr w14:paraId="3C05C1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00" w:hRule="atLeast"/>
                <w:jc w:val="center"/>
              </w:trPr>
              <w:tc>
                <w:tcPr>
                  <w:tcW w:w="295" w:type="pct"/>
                  <w:vAlign w:val="center"/>
                </w:tcPr>
                <w:p w14:paraId="6563D5AC">
                  <w:pPr>
                    <w:widowControl w:val="0"/>
                    <w:overflowPunct w:val="0"/>
                    <w:autoSpaceDE w:val="0"/>
                    <w:autoSpaceDN w:val="0"/>
                    <w:snapToGrid w:val="0"/>
                    <w:jc w:val="center"/>
                    <w:rPr>
                      <w14:ligatures w14:val="standardContextual"/>
                    </w:rPr>
                  </w:pPr>
                  <w:r>
                    <w:rPr>
                      <w:rFonts w:hint="eastAsia"/>
                      <w14:ligatures w14:val="standardContextual"/>
                    </w:rPr>
                    <w:t>3</w:t>
                  </w:r>
                </w:p>
              </w:tc>
              <w:tc>
                <w:tcPr>
                  <w:tcW w:w="1046" w:type="pct"/>
                  <w:vAlign w:val="center"/>
                </w:tcPr>
                <w:p w14:paraId="420918DA">
                  <w:pPr>
                    <w:widowControl w:val="0"/>
                    <w:overflowPunct w:val="0"/>
                    <w:autoSpaceDE w:val="0"/>
                    <w:autoSpaceDN w:val="0"/>
                    <w:snapToGrid w:val="0"/>
                    <w:jc w:val="center"/>
                    <w:rPr>
                      <w14:ligatures w14:val="standardContextual"/>
                    </w:rPr>
                  </w:pPr>
                  <w:r>
                    <w:rPr>
                      <w:rFonts w:hint="eastAsia"/>
                      <w14:ligatures w14:val="standardContextual"/>
                    </w:rPr>
                    <w:t>锅炉用水</w:t>
                  </w:r>
                </w:p>
              </w:tc>
              <w:tc>
                <w:tcPr>
                  <w:tcW w:w="738" w:type="pct"/>
                  <w:vAlign w:val="center"/>
                </w:tcPr>
                <w:p w14:paraId="332BBFB6">
                  <w:pPr>
                    <w:widowControl w:val="0"/>
                    <w:overflowPunct w:val="0"/>
                    <w:autoSpaceDE w:val="0"/>
                    <w:autoSpaceDN w:val="0"/>
                    <w:snapToGrid w:val="0"/>
                    <w:jc w:val="center"/>
                    <w:rPr>
                      <w:color w:val="auto"/>
                      <w:u w:val="single"/>
                      <w14:ligatures w14:val="standardContextual"/>
                    </w:rPr>
                  </w:pPr>
                  <w:r>
                    <w:rPr>
                      <w:rFonts w:hint="eastAsia"/>
                      <w:color w:val="auto"/>
                      <w:u w:val="single"/>
                      <w14:ligatures w14:val="standardContextual"/>
                    </w:rPr>
                    <w:t>0</w:t>
                  </w:r>
                </w:p>
              </w:tc>
              <w:tc>
                <w:tcPr>
                  <w:tcW w:w="726" w:type="pct"/>
                  <w:vAlign w:val="center"/>
                </w:tcPr>
                <w:p w14:paraId="306679F7">
                  <w:pPr>
                    <w:widowControl w:val="0"/>
                    <w:overflowPunct w:val="0"/>
                    <w:autoSpaceDE w:val="0"/>
                    <w:autoSpaceDN w:val="0"/>
                    <w:snapToGrid w:val="0"/>
                    <w:jc w:val="center"/>
                    <w:rPr>
                      <w:color w:val="auto"/>
                      <w:u w:val="single"/>
                      <w14:ligatures w14:val="standardContextual"/>
                    </w:rPr>
                  </w:pPr>
                  <w:r>
                    <w:rPr>
                      <w:rFonts w:hint="eastAsia"/>
                      <w:color w:val="auto"/>
                      <w:u w:val="single"/>
                      <w14:ligatures w14:val="standardContextual"/>
                    </w:rPr>
                    <w:t>126732</w:t>
                  </w:r>
                </w:p>
              </w:tc>
              <w:tc>
                <w:tcPr>
                  <w:tcW w:w="607" w:type="pct"/>
                  <w:vAlign w:val="center"/>
                </w:tcPr>
                <w:p w14:paraId="6661D231">
                  <w:pPr>
                    <w:widowControl w:val="0"/>
                    <w:overflowPunct w:val="0"/>
                    <w:autoSpaceDE w:val="0"/>
                    <w:autoSpaceDN w:val="0"/>
                    <w:snapToGrid w:val="0"/>
                    <w:jc w:val="center"/>
                    <w:rPr>
                      <w:color w:val="auto"/>
                      <w:u w:val="single"/>
                      <w14:ligatures w14:val="standardContextual"/>
                    </w:rPr>
                  </w:pPr>
                  <w:r>
                    <w:rPr>
                      <w:color w:val="auto"/>
                      <w:u w:val="single"/>
                      <w14:ligatures w14:val="standardContextual"/>
                    </w:rPr>
                    <w:t>0</w:t>
                  </w:r>
                </w:p>
              </w:tc>
              <w:tc>
                <w:tcPr>
                  <w:tcW w:w="659" w:type="pct"/>
                  <w:noWrap/>
                  <w:vAlign w:val="center"/>
                </w:tcPr>
                <w:p w14:paraId="51C99D5B">
                  <w:pPr>
                    <w:widowControl w:val="0"/>
                    <w:overflowPunct w:val="0"/>
                    <w:autoSpaceDE w:val="0"/>
                    <w:autoSpaceDN w:val="0"/>
                    <w:snapToGrid w:val="0"/>
                    <w:jc w:val="center"/>
                    <w:rPr>
                      <w:color w:val="auto"/>
                      <w:u w:val="single"/>
                      <w14:ligatures w14:val="standardContextual"/>
                    </w:rPr>
                  </w:pPr>
                  <w:bookmarkStart w:id="104" w:name="OLE_LINK189"/>
                  <w:r>
                    <w:rPr>
                      <w:rFonts w:hint="eastAsia"/>
                      <w:color w:val="auto"/>
                      <w:u w:val="single"/>
                      <w14:ligatures w14:val="standardContextual"/>
                    </w:rPr>
                    <w:t>126720</w:t>
                  </w:r>
                  <w:bookmarkEnd w:id="104"/>
                </w:p>
              </w:tc>
              <w:tc>
                <w:tcPr>
                  <w:tcW w:w="929" w:type="pct"/>
                  <w:vAlign w:val="center"/>
                </w:tcPr>
                <w:p w14:paraId="3EA69A0E">
                  <w:pPr>
                    <w:widowControl w:val="0"/>
                    <w:overflowPunct w:val="0"/>
                    <w:autoSpaceDE w:val="0"/>
                    <w:autoSpaceDN w:val="0"/>
                    <w:snapToGrid w:val="0"/>
                    <w:jc w:val="center"/>
                    <w:rPr>
                      <w:color w:val="auto"/>
                      <w:u w:val="single"/>
                      <w14:ligatures w14:val="standardContextual"/>
                    </w:rPr>
                  </w:pPr>
                  <w:bookmarkStart w:id="105" w:name="OLE_LINK190"/>
                  <w:r>
                    <w:rPr>
                      <w:rFonts w:hint="eastAsia"/>
                      <w:color w:val="auto"/>
                      <w:u w:val="single"/>
                      <w14:ligatures w14:val="standardContextual"/>
                    </w:rPr>
                    <w:t>12</w:t>
                  </w:r>
                  <w:bookmarkEnd w:id="105"/>
                </w:p>
              </w:tc>
            </w:tr>
            <w:tr w14:paraId="13087E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00" w:hRule="atLeast"/>
                <w:jc w:val="center"/>
              </w:trPr>
              <w:tc>
                <w:tcPr>
                  <w:tcW w:w="1341" w:type="pct"/>
                  <w:gridSpan w:val="2"/>
                  <w:vAlign w:val="center"/>
                </w:tcPr>
                <w:p w14:paraId="3D1B36A5">
                  <w:pPr>
                    <w:widowControl w:val="0"/>
                    <w:overflowPunct w:val="0"/>
                    <w:autoSpaceDE w:val="0"/>
                    <w:autoSpaceDN w:val="0"/>
                    <w:snapToGrid w:val="0"/>
                    <w:jc w:val="center"/>
                    <w:rPr>
                      <w14:ligatures w14:val="standardContextual"/>
                    </w:rPr>
                  </w:pPr>
                  <w:r>
                    <w:rPr>
                      <w:rFonts w:hint="eastAsia"/>
                      <w14:ligatures w14:val="standardContextual"/>
                    </w:rPr>
                    <w:t>合计</w:t>
                  </w:r>
                </w:p>
              </w:tc>
              <w:tc>
                <w:tcPr>
                  <w:tcW w:w="738" w:type="pct"/>
                  <w:vAlign w:val="center"/>
                </w:tcPr>
                <w:p w14:paraId="63B3FBCC">
                  <w:pPr>
                    <w:widowControl w:val="0"/>
                    <w:overflowPunct w:val="0"/>
                    <w:autoSpaceDE w:val="0"/>
                    <w:autoSpaceDN w:val="0"/>
                    <w:snapToGrid w:val="0"/>
                    <w:jc w:val="center"/>
                    <w:rPr>
                      <w:color w:val="auto"/>
                      <w:u w:val="single"/>
                      <w14:ligatures w14:val="standardContextual"/>
                    </w:rPr>
                  </w:pPr>
                  <w:r>
                    <w:rPr>
                      <w:rFonts w:hint="eastAsia"/>
                      <w:color w:val="auto"/>
                      <w:u w:val="single"/>
                      <w14:ligatures w14:val="standardContextual"/>
                    </w:rPr>
                    <w:t>168976.00</w:t>
                  </w:r>
                </w:p>
              </w:tc>
              <w:tc>
                <w:tcPr>
                  <w:tcW w:w="726" w:type="pct"/>
                  <w:vAlign w:val="center"/>
                </w:tcPr>
                <w:p w14:paraId="0ACFA5BE">
                  <w:pPr>
                    <w:widowControl w:val="0"/>
                    <w:overflowPunct w:val="0"/>
                    <w:autoSpaceDE w:val="0"/>
                    <w:autoSpaceDN w:val="0"/>
                    <w:snapToGrid w:val="0"/>
                    <w:jc w:val="center"/>
                    <w:rPr>
                      <w:color w:val="auto"/>
                      <w:u w:val="single"/>
                      <w14:ligatures w14:val="standardContextual"/>
                    </w:rPr>
                  </w:pPr>
                  <w:r>
                    <w:rPr>
                      <w:rFonts w:hint="eastAsia"/>
                      <w:color w:val="auto"/>
                      <w:u w:val="single"/>
                      <w14:ligatures w14:val="standardContextual"/>
                    </w:rPr>
                    <w:t>126732</w:t>
                  </w:r>
                </w:p>
              </w:tc>
              <w:tc>
                <w:tcPr>
                  <w:tcW w:w="607" w:type="pct"/>
                  <w:vAlign w:val="center"/>
                </w:tcPr>
                <w:p w14:paraId="5B161B53">
                  <w:pPr>
                    <w:widowControl w:val="0"/>
                    <w:overflowPunct w:val="0"/>
                    <w:autoSpaceDE w:val="0"/>
                    <w:autoSpaceDN w:val="0"/>
                    <w:snapToGrid w:val="0"/>
                    <w:jc w:val="center"/>
                    <w:rPr>
                      <w:color w:val="auto"/>
                      <w:u w:val="single"/>
                      <w14:ligatures w14:val="standardContextual"/>
                    </w:rPr>
                  </w:pPr>
                  <w:r>
                    <w:rPr>
                      <w:rFonts w:hint="eastAsia"/>
                      <w:color w:val="auto"/>
                      <w:u w:val="single"/>
                      <w14:ligatures w14:val="standardContextual"/>
                    </w:rPr>
                    <w:t>126732</w:t>
                  </w:r>
                </w:p>
              </w:tc>
              <w:tc>
                <w:tcPr>
                  <w:tcW w:w="659" w:type="pct"/>
                  <w:vAlign w:val="center"/>
                </w:tcPr>
                <w:p w14:paraId="7A232CEB">
                  <w:pPr>
                    <w:widowControl w:val="0"/>
                    <w:overflowPunct w:val="0"/>
                    <w:autoSpaceDE w:val="0"/>
                    <w:autoSpaceDN w:val="0"/>
                    <w:snapToGrid w:val="0"/>
                    <w:jc w:val="center"/>
                    <w:rPr>
                      <w:color w:val="auto"/>
                      <w:u w:val="single"/>
                      <w14:ligatures w14:val="standardContextual"/>
                    </w:rPr>
                  </w:pPr>
                  <w:r>
                    <w:rPr>
                      <w:rFonts w:hint="eastAsia"/>
                      <w:color w:val="auto"/>
                      <w:u w:val="single"/>
                      <w14:ligatures w14:val="standardContextual"/>
                    </w:rPr>
                    <w:t>126720</w:t>
                  </w:r>
                </w:p>
              </w:tc>
              <w:tc>
                <w:tcPr>
                  <w:tcW w:w="929" w:type="pct"/>
                  <w:vAlign w:val="center"/>
                </w:tcPr>
                <w:p w14:paraId="327F378C">
                  <w:pPr>
                    <w:widowControl w:val="0"/>
                    <w:overflowPunct w:val="0"/>
                    <w:autoSpaceDE w:val="0"/>
                    <w:autoSpaceDN w:val="0"/>
                    <w:snapToGrid w:val="0"/>
                    <w:jc w:val="center"/>
                    <w:rPr>
                      <w:color w:val="auto"/>
                      <w:u w:val="single"/>
                      <w14:ligatures w14:val="standardContextual"/>
                    </w:rPr>
                  </w:pPr>
                  <w:r>
                    <w:rPr>
                      <w:rFonts w:hint="eastAsia"/>
                      <w:color w:val="auto"/>
                      <w:u w:val="single"/>
                      <w14:ligatures w14:val="standardContextual"/>
                    </w:rPr>
                    <w:t>42520.00</w:t>
                  </w:r>
                </w:p>
              </w:tc>
            </w:tr>
          </w:tbl>
          <w:p w14:paraId="59C4541A">
            <w:pPr>
              <w:pStyle w:val="51"/>
            </w:pPr>
            <w:r>
              <w:drawing>
                <wp:inline distT="0" distB="0" distL="0" distR="0">
                  <wp:extent cx="3599815" cy="1212850"/>
                  <wp:effectExtent l="0" t="0" r="635" b="6350"/>
                  <wp:docPr id="11875412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541230" name="图片 1"/>
                          <pic:cNvPicPr>
                            <a:picLocks noChangeAspect="1"/>
                          </pic:cNvPicPr>
                        </pic:nvPicPr>
                        <pic:blipFill>
                          <a:blip r:embed="rId13"/>
                          <a:stretch>
                            <a:fillRect/>
                          </a:stretch>
                        </pic:blipFill>
                        <pic:spPr>
                          <a:xfrm>
                            <a:off x="0" y="0"/>
                            <a:ext cx="3600000" cy="1213026"/>
                          </a:xfrm>
                          <a:prstGeom prst="rect">
                            <a:avLst/>
                          </a:prstGeom>
                        </pic:spPr>
                      </pic:pic>
                    </a:graphicData>
                  </a:graphic>
                </wp:inline>
              </w:drawing>
            </w:r>
          </w:p>
          <w:p w14:paraId="78387D51">
            <w:pPr>
              <w:pStyle w:val="49"/>
              <w:rPr>
                <w:color w:val="auto"/>
                <w:u w:val="single"/>
              </w:rPr>
            </w:pPr>
            <w:r>
              <w:rPr>
                <w:rFonts w:hint="eastAsia"/>
                <w:color w:val="auto"/>
                <w:u w:val="single"/>
              </w:rPr>
              <w:t xml:space="preserve">图2- </w:t>
            </w:r>
            <w:r>
              <w:rPr>
                <w:color w:val="auto"/>
                <w:u w:val="single"/>
              </w:rPr>
              <w:t>1</w:t>
            </w:r>
            <w:r>
              <w:rPr>
                <w:rFonts w:hint="eastAsia"/>
                <w:color w:val="auto"/>
                <w:u w:val="single"/>
              </w:rPr>
              <w:t>：本项目水平衡图（单位m³/a）</w:t>
            </w:r>
          </w:p>
          <w:p w14:paraId="31E33C9E">
            <w:pPr>
              <w:pStyle w:val="7"/>
            </w:pPr>
            <w:r>
              <w:rPr>
                <w:rFonts w:hint="eastAsia"/>
              </w:rPr>
              <w:t>九、平面布置</w:t>
            </w:r>
          </w:p>
          <w:p w14:paraId="10A211D8">
            <w:pPr>
              <w:pStyle w:val="3"/>
              <w:ind w:firstLine="480"/>
            </w:pPr>
            <w:r>
              <w:rPr>
                <w:rFonts w:hint="eastAsia"/>
              </w:rPr>
              <w:t>本项目外环路连接各个功能区，用地四面环路，项目用地内建设标准厂房、研发中心、总部综合楼、综合行政功能区、孵化中心等建筑。锅炉房位于用地南侧。本项目总平面布置分区明确、人货分流、满足工艺流程顺畅和原辅料、产品等的运输方便要求，产生的污染物对周围环境敏感点无明显影响，厂区平面布置合理可行。</w:t>
            </w:r>
          </w:p>
          <w:p w14:paraId="5A9ECA31">
            <w:pPr>
              <w:pStyle w:val="3"/>
              <w:ind w:firstLine="480"/>
            </w:pPr>
            <w:r>
              <w:rPr>
                <w:rFonts w:hint="eastAsia"/>
              </w:rPr>
              <w:t>项目总平面布置见附图2-1。</w:t>
            </w:r>
          </w:p>
          <w:p w14:paraId="0215CC14">
            <w:pPr>
              <w:pStyle w:val="3"/>
              <w:ind w:firstLine="480"/>
            </w:pPr>
            <w:r>
              <w:rPr>
                <w:rFonts w:hint="eastAsia"/>
              </w:rPr>
              <w:t>锅炉房内设4台生物质锅炉，每台锅炉8t/h，位于锅炉房内部，锅炉两侧分别设置料仓及灰渣间，锅炉房平面布置图见附图2-2。</w:t>
            </w:r>
          </w:p>
          <w:p w14:paraId="016CFB46">
            <w:pPr>
              <w:pStyle w:val="3"/>
              <w:ind w:firstLine="480"/>
            </w:pPr>
          </w:p>
          <w:p w14:paraId="7599382F">
            <w:pPr>
              <w:pStyle w:val="3"/>
              <w:ind w:firstLine="480"/>
            </w:pPr>
          </w:p>
        </w:tc>
      </w:tr>
    </w:tbl>
    <w:p w14:paraId="53597BBC">
      <w:pPr>
        <w:rPr>
          <w:vertAlign w:val="subscript"/>
        </w:rPr>
      </w:pPr>
    </w:p>
    <w:tbl>
      <w:tblPr>
        <w:tblStyle w:val="2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67"/>
        <w:gridCol w:w="8593"/>
      </w:tblGrid>
      <w:tr w14:paraId="54DC44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037" w:hRule="atLeast"/>
          <w:jc w:val="center"/>
        </w:trPr>
        <w:tc>
          <w:tcPr>
            <w:tcW w:w="258" w:type="pct"/>
            <w:vAlign w:val="center"/>
          </w:tcPr>
          <w:p w14:paraId="5DFA11C4">
            <w:pPr>
              <w:pStyle w:val="18"/>
              <w:rPr>
                <w:rFonts w:hint="eastAsia"/>
              </w:rPr>
            </w:pPr>
            <w:bookmarkStart w:id="106" w:name="_Toc175609270"/>
            <w:r>
              <w:rPr>
                <w:rFonts w:hint="eastAsia"/>
              </w:rPr>
              <w:t>工艺流程和产排污环节</w:t>
            </w:r>
            <w:bookmarkEnd w:id="106"/>
          </w:p>
        </w:tc>
        <w:tc>
          <w:tcPr>
            <w:tcW w:w="4742" w:type="pct"/>
          </w:tcPr>
          <w:p w14:paraId="6469B5EC">
            <w:pPr>
              <w:pStyle w:val="7"/>
            </w:pPr>
            <w:bookmarkStart w:id="107" w:name="一、施工期工艺流程"/>
            <w:bookmarkStart w:id="108" w:name="OLE_LINK58"/>
            <w:r>
              <w:rPr>
                <w:rFonts w:hint="eastAsia"/>
              </w:rPr>
              <w:t>一、施工期工艺流程</w:t>
            </w:r>
            <w:bookmarkEnd w:id="107"/>
            <w:bookmarkEnd w:id="108"/>
          </w:p>
          <w:p w14:paraId="643825DF">
            <w:pPr>
              <w:pStyle w:val="3"/>
              <w:ind w:firstLine="480"/>
            </w:pPr>
            <w:r>
              <w:rPr>
                <w:rFonts w:hint="eastAsia"/>
              </w:rPr>
              <w:t>本项目为马来西亚中小企业集聚区标准厂房及配套设施建设项目的子工程。施工期主要建设内容为装饰装修工程、光伏发电工程，供热管道及生物质锅炉工程、仓储系统工程、场地硬化工程、桥式起重机工程。</w:t>
            </w:r>
          </w:p>
          <w:p w14:paraId="36019AD7">
            <w:pPr>
              <w:pStyle w:val="3"/>
              <w:ind w:firstLine="480"/>
            </w:pPr>
            <w:r>
              <w:rPr>
                <w:rFonts w:hint="eastAsia"/>
              </w:rPr>
              <w:t>在施工期间将产生扬尘、固体废弃物、废水及噪声等污染物。项目施工期较短，且产生的影响随着施工的结束而消失。</w:t>
            </w:r>
          </w:p>
          <w:p w14:paraId="20A17D3A">
            <w:pPr>
              <w:pStyle w:val="3"/>
              <w:ind w:firstLine="480"/>
              <w:rPr>
                <w:color w:val="auto"/>
                <w:u w:val="single"/>
              </w:rPr>
            </w:pPr>
            <w:r>
              <w:rPr>
                <w:rFonts w:hint="eastAsia"/>
                <w:color w:val="auto"/>
                <w:u w:val="single"/>
              </w:rPr>
              <w:t>1、</w:t>
            </w:r>
            <w:bookmarkStart w:id="109" w:name="OLE_LINK68"/>
            <w:r>
              <w:rPr>
                <w:rFonts w:hint="eastAsia"/>
                <w:color w:val="auto"/>
                <w:u w:val="single"/>
              </w:rPr>
              <w:t>装饰装修工程</w:t>
            </w:r>
            <w:bookmarkEnd w:id="109"/>
          </w:p>
          <w:p w14:paraId="54E9010B">
            <w:pPr>
              <w:pStyle w:val="3"/>
              <w:ind w:firstLine="480"/>
              <w:rPr>
                <w:color w:val="auto"/>
                <w:u w:val="single"/>
              </w:rPr>
            </w:pPr>
            <w:r>
              <w:rPr>
                <w:rFonts w:hint="eastAsia"/>
                <w:color w:val="auto"/>
                <w:u w:val="single"/>
              </w:rPr>
              <w:t>本工程主要装修内容由装修设计范围内的室内地面、墙面、顶棚三大部分构成（公共区域除外）。本次室内装修设计不改变原防火分区、不改变平面布局、不改变主体结构，暂时不考虑新增室内用水点。本次室内装饰装修的1#-8#厂房，15#=18#厂房主体部分已完成建设，厂房内现场公区部分以装修完毕，其余部位现状为毛坯。</w:t>
            </w:r>
          </w:p>
          <w:p w14:paraId="3DC2F938">
            <w:pPr>
              <w:pStyle w:val="3"/>
              <w:ind w:firstLine="480"/>
              <w:rPr>
                <w:color w:val="auto"/>
                <w:u w:val="single"/>
              </w:rPr>
            </w:pPr>
            <w:r>
              <w:rPr>
                <w:rFonts w:hint="eastAsia"/>
                <w:color w:val="auto"/>
                <w:u w:val="single"/>
              </w:rPr>
              <w:t>本项目</w:t>
            </w:r>
            <w:bookmarkStart w:id="110" w:name="OLE_LINK49"/>
            <w:r>
              <w:rPr>
                <w:rFonts w:hint="eastAsia"/>
                <w:color w:val="auto"/>
                <w:u w:val="single"/>
              </w:rPr>
              <w:t>总装修建筑面积为</w:t>
            </w:r>
            <w:bookmarkStart w:id="111" w:name="OLE_LINK48"/>
            <w:r>
              <w:rPr>
                <w:rFonts w:hint="eastAsia"/>
                <w:color w:val="auto"/>
                <w:u w:val="single"/>
              </w:rPr>
              <w:t>87934</w:t>
            </w:r>
            <w:bookmarkEnd w:id="111"/>
            <w:r>
              <w:rPr>
                <w:rFonts w:hint="eastAsia"/>
                <w:color w:val="auto"/>
                <w:u w:val="single"/>
              </w:rPr>
              <w:t>平方米</w:t>
            </w:r>
            <w:bookmarkEnd w:id="110"/>
            <w:r>
              <w:rPr>
                <w:rFonts w:hint="eastAsia"/>
                <w:color w:val="auto"/>
                <w:u w:val="single"/>
              </w:rPr>
              <w:t>，所用主要装饰装修材料如下表所示：</w:t>
            </w:r>
          </w:p>
          <w:p w14:paraId="2958BB5F">
            <w:pPr>
              <w:pStyle w:val="49"/>
              <w:rPr>
                <w:color w:val="auto"/>
                <w:u w:val="single"/>
              </w:rPr>
            </w:pPr>
            <w:bookmarkStart w:id="112" w:name="OLE_LINK60"/>
            <w:r>
              <w:rPr>
                <w:rFonts w:hint="eastAsia"/>
                <w:color w:val="auto"/>
                <w:u w:val="single"/>
              </w:rPr>
              <w:t xml:space="preserve">表2- </w:t>
            </w:r>
            <w:r>
              <w:rPr>
                <w:color w:val="auto"/>
                <w:u w:val="single"/>
              </w:rPr>
              <w:fldChar w:fldCharType="begin"/>
            </w:r>
            <w:r>
              <w:rPr>
                <w:color w:val="auto"/>
                <w:u w:val="single"/>
              </w:rPr>
              <w:instrText xml:space="preserve"> </w:instrText>
            </w:r>
            <w:r>
              <w:rPr>
                <w:rFonts w:hint="eastAsia"/>
                <w:color w:val="auto"/>
                <w:u w:val="single"/>
              </w:rPr>
              <w:instrText xml:space="preserve">SEQ 表2- \* ARABIC</w:instrText>
            </w:r>
            <w:r>
              <w:rPr>
                <w:color w:val="auto"/>
                <w:u w:val="single"/>
              </w:rPr>
              <w:instrText xml:space="preserve"> </w:instrText>
            </w:r>
            <w:r>
              <w:rPr>
                <w:color w:val="auto"/>
                <w:u w:val="single"/>
              </w:rPr>
              <w:fldChar w:fldCharType="separate"/>
            </w:r>
            <w:r>
              <w:rPr>
                <w:color w:val="auto"/>
                <w:u w:val="single"/>
              </w:rPr>
              <w:t>6</w:t>
            </w:r>
            <w:r>
              <w:rPr>
                <w:color w:val="auto"/>
                <w:u w:val="single"/>
              </w:rPr>
              <w:fldChar w:fldCharType="end"/>
            </w:r>
            <w:r>
              <w:rPr>
                <w:rFonts w:hint="eastAsia"/>
                <w:color w:val="auto"/>
                <w:u w:val="single"/>
              </w:rPr>
              <w:t>：</w:t>
            </w:r>
            <w:bookmarkEnd w:id="112"/>
            <w:r>
              <w:rPr>
                <w:rFonts w:hint="eastAsia"/>
                <w:color w:val="auto"/>
                <w:u w:val="single"/>
              </w:rPr>
              <w:t>装饰装修材料一览表</w:t>
            </w:r>
          </w:p>
          <w:tbl>
            <w:tblPr>
              <w:tblStyle w:val="5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1628"/>
              <w:gridCol w:w="1628"/>
              <w:gridCol w:w="1628"/>
              <w:gridCol w:w="1629"/>
              <w:gridCol w:w="1629"/>
            </w:tblGrid>
            <w:tr w14:paraId="7DE1BB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628" w:type="dxa"/>
                  <w:tcBorders>
                    <w:top w:val="single" w:color="auto" w:sz="12" w:space="0"/>
                    <w:left w:val="nil"/>
                    <w:bottom w:val="single" w:color="auto" w:sz="12" w:space="0"/>
                    <w:right w:val="single" w:color="auto" w:sz="4" w:space="0"/>
                    <w:insideH w:val="single" w:sz="12" w:space="0"/>
                    <w:insideV w:val="single" w:sz="4" w:space="0"/>
                    <w:tl2br w:val="nil"/>
                    <w:tr2bl w:val="nil"/>
                  </w:tcBorders>
                  <w:vAlign w:val="top"/>
                </w:tcPr>
                <w:p w14:paraId="51D3C242">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sz w:val="21"/>
                      <w:szCs w:val="21"/>
                      <w:u w:val="single"/>
                      <w14:ligatures w14:val="standardContextual"/>
                    </w:rPr>
                  </w:pPr>
                  <w:r>
                    <w:rPr>
                      <w:rFonts w:hint="eastAsia" w:ascii="Times New Roman" w:hAnsi="Times New Roman" w:eastAsia="宋体" w:cs="Times New Roman"/>
                      <w:b/>
                      <w:i w:val="0"/>
                      <w:color w:val="auto"/>
                      <w:sz w:val="21"/>
                      <w:szCs w:val="21"/>
                      <w:u w:val="single"/>
                      <w14:ligatures w14:val="standardContextual"/>
                    </w:rPr>
                    <w:t>材料</w:t>
                  </w:r>
                </w:p>
              </w:tc>
              <w:tc>
                <w:tcPr>
                  <w:tcW w:w="1628" w:type="dxa"/>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43D04873">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sz w:val="21"/>
                      <w:szCs w:val="21"/>
                      <w:u w:val="single"/>
                      <w14:ligatures w14:val="standardContextual"/>
                    </w:rPr>
                  </w:pPr>
                  <w:r>
                    <w:rPr>
                      <w:rFonts w:hint="eastAsia" w:ascii="Times New Roman" w:hAnsi="Times New Roman" w:eastAsia="宋体" w:cs="Times New Roman"/>
                      <w:b/>
                      <w:i w:val="0"/>
                      <w:color w:val="auto"/>
                      <w:sz w:val="21"/>
                      <w:szCs w:val="21"/>
                      <w:u w:val="single"/>
                      <w14:ligatures w14:val="standardContextual"/>
                    </w:rPr>
                    <w:t>部位</w:t>
                  </w:r>
                </w:p>
              </w:tc>
              <w:tc>
                <w:tcPr>
                  <w:tcW w:w="1628" w:type="dxa"/>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287841E4">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sz w:val="21"/>
                      <w:szCs w:val="21"/>
                      <w:u w:val="single"/>
                      <w14:ligatures w14:val="standardContextual"/>
                    </w:rPr>
                  </w:pPr>
                  <w:r>
                    <w:rPr>
                      <w:rFonts w:hint="eastAsia" w:ascii="Times New Roman" w:hAnsi="Times New Roman" w:eastAsia="宋体" w:cs="Times New Roman"/>
                      <w:b/>
                      <w:i w:val="0"/>
                      <w:color w:val="auto"/>
                      <w:sz w:val="21"/>
                      <w:szCs w:val="21"/>
                      <w:u w:val="single"/>
                      <w14:ligatures w14:val="standardContextual"/>
                    </w:rPr>
                    <w:t>燃烧性能</w:t>
                  </w:r>
                </w:p>
              </w:tc>
              <w:tc>
                <w:tcPr>
                  <w:tcW w:w="1629" w:type="dxa"/>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288480B3">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sz w:val="21"/>
                      <w:szCs w:val="21"/>
                      <w:u w:val="single"/>
                      <w14:ligatures w14:val="standardContextual"/>
                    </w:rPr>
                  </w:pPr>
                  <w:r>
                    <w:rPr>
                      <w:rFonts w:hint="eastAsia" w:ascii="Times New Roman" w:hAnsi="Times New Roman" w:eastAsia="宋体" w:cs="Times New Roman"/>
                      <w:b/>
                      <w:i w:val="0"/>
                      <w:color w:val="auto"/>
                      <w:sz w:val="21"/>
                      <w:szCs w:val="21"/>
                      <w:u w:val="single"/>
                      <w14:ligatures w14:val="standardContextual"/>
                    </w:rPr>
                    <w:t>用量</w:t>
                  </w:r>
                </w:p>
              </w:tc>
              <w:tc>
                <w:tcPr>
                  <w:tcW w:w="1629" w:type="dxa"/>
                  <w:tcBorders>
                    <w:top w:val="single" w:color="auto" w:sz="12" w:space="0"/>
                    <w:bottom w:val="single" w:color="auto" w:sz="12" w:space="0"/>
                    <w:right w:val="nil"/>
                    <w:insideH w:val="single" w:sz="12" w:space="0"/>
                    <w:insideV w:val="single" w:sz="4" w:space="0"/>
                    <w:tl2br w:val="nil"/>
                    <w:tr2bl w:val="nil"/>
                  </w:tcBorders>
                  <w:vAlign w:val="center"/>
                </w:tcPr>
                <w:p w14:paraId="7E4A27B1">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sz w:val="21"/>
                      <w:szCs w:val="21"/>
                      <w:u w:val="single"/>
                      <w14:ligatures w14:val="standardContextual"/>
                    </w:rPr>
                  </w:pPr>
                  <w:r>
                    <w:rPr>
                      <w:rFonts w:hint="eastAsia" w:ascii="Times New Roman" w:hAnsi="Times New Roman" w:eastAsia="宋体" w:cs="Times New Roman"/>
                      <w:b/>
                      <w:i w:val="0"/>
                      <w:color w:val="auto"/>
                      <w:sz w:val="21"/>
                      <w:szCs w:val="21"/>
                      <w:u w:val="single"/>
                      <w14:ligatures w14:val="standardContextual"/>
                    </w:rPr>
                    <w:t>备注</w:t>
                  </w:r>
                </w:p>
              </w:tc>
            </w:tr>
            <w:tr w14:paraId="2AABDC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628" w:type="dxa"/>
                  <w:vAlign w:val="top"/>
                </w:tcPr>
                <w:p w14:paraId="57D922CC">
                  <w:pPr>
                    <w:widowControl w:val="0"/>
                    <w:overflowPunct w:val="0"/>
                    <w:autoSpaceDE w:val="0"/>
                    <w:autoSpaceDN w:val="0"/>
                    <w:snapToGrid w:val="0"/>
                    <w:jc w:val="center"/>
                    <w:rPr>
                      <w:color w:val="auto"/>
                      <w:u w:val="single"/>
                      <w14:ligatures w14:val="standardContextual"/>
                    </w:rPr>
                  </w:pPr>
                  <w:r>
                    <w:rPr>
                      <w:rFonts w:hint="eastAsia"/>
                      <w:color w:val="auto"/>
                      <w:u w:val="single"/>
                      <w14:ligatures w14:val="standardContextual"/>
                    </w:rPr>
                    <w:t>金刚砂</w:t>
                  </w:r>
                </w:p>
              </w:tc>
              <w:tc>
                <w:tcPr>
                  <w:tcW w:w="1628" w:type="dxa"/>
                  <w:vAlign w:val="center"/>
                </w:tcPr>
                <w:p w14:paraId="4018CDE4">
                  <w:pPr>
                    <w:widowControl w:val="0"/>
                    <w:overflowPunct w:val="0"/>
                    <w:autoSpaceDE w:val="0"/>
                    <w:autoSpaceDN w:val="0"/>
                    <w:snapToGrid w:val="0"/>
                    <w:jc w:val="center"/>
                    <w:rPr>
                      <w:color w:val="auto"/>
                      <w:u w:val="single"/>
                      <w14:ligatures w14:val="standardContextual"/>
                    </w:rPr>
                  </w:pPr>
                  <w:r>
                    <w:rPr>
                      <w:rFonts w:hint="eastAsia"/>
                      <w:color w:val="auto"/>
                      <w:u w:val="single"/>
                      <w14:ligatures w14:val="standardContextual"/>
                    </w:rPr>
                    <w:t>地面</w:t>
                  </w:r>
                </w:p>
              </w:tc>
              <w:tc>
                <w:tcPr>
                  <w:tcW w:w="1628" w:type="dxa"/>
                  <w:vAlign w:val="center"/>
                </w:tcPr>
                <w:p w14:paraId="129F7F3E">
                  <w:pPr>
                    <w:widowControl w:val="0"/>
                    <w:overflowPunct w:val="0"/>
                    <w:autoSpaceDE w:val="0"/>
                    <w:autoSpaceDN w:val="0"/>
                    <w:snapToGrid w:val="0"/>
                    <w:jc w:val="center"/>
                    <w:rPr>
                      <w:color w:val="auto"/>
                      <w:u w:val="single"/>
                      <w14:ligatures w14:val="standardContextual"/>
                    </w:rPr>
                  </w:pPr>
                  <w:r>
                    <w:rPr>
                      <w:rFonts w:hint="eastAsia"/>
                      <w:color w:val="auto"/>
                      <w:u w:val="single"/>
                      <w14:ligatures w14:val="standardContextual"/>
                    </w:rPr>
                    <w:t>B2</w:t>
                  </w:r>
                </w:p>
              </w:tc>
              <w:tc>
                <w:tcPr>
                  <w:tcW w:w="1629" w:type="dxa"/>
                  <w:vAlign w:val="center"/>
                </w:tcPr>
                <w:p w14:paraId="0BE13815">
                  <w:pPr>
                    <w:widowControl w:val="0"/>
                    <w:overflowPunct w:val="0"/>
                    <w:autoSpaceDE w:val="0"/>
                    <w:autoSpaceDN w:val="0"/>
                    <w:snapToGrid w:val="0"/>
                    <w:jc w:val="center"/>
                    <w:rPr>
                      <w:color w:val="auto"/>
                      <w:u w:val="single"/>
                      <w14:ligatures w14:val="standardContextual"/>
                    </w:rPr>
                  </w:pPr>
                  <w:r>
                    <w:rPr>
                      <w:rFonts w:hint="eastAsia"/>
                      <w:color w:val="auto"/>
                      <w:u w:val="single"/>
                      <w14:ligatures w14:val="standardContextual"/>
                    </w:rPr>
                    <w:t>880吨</w:t>
                  </w:r>
                </w:p>
              </w:tc>
              <w:tc>
                <w:tcPr>
                  <w:tcW w:w="1629" w:type="dxa"/>
                  <w:vAlign w:val="center"/>
                </w:tcPr>
                <w:p w14:paraId="5A3126D7">
                  <w:pPr>
                    <w:widowControl w:val="0"/>
                    <w:overflowPunct w:val="0"/>
                    <w:autoSpaceDE w:val="0"/>
                    <w:autoSpaceDN w:val="0"/>
                    <w:snapToGrid w:val="0"/>
                    <w:jc w:val="center"/>
                    <w:rPr>
                      <w:color w:val="auto"/>
                      <w:u w:val="single"/>
                      <w14:ligatures w14:val="standardContextual"/>
                    </w:rPr>
                  </w:pPr>
                  <w:r>
                    <w:rPr>
                      <w:rFonts w:hint="eastAsia"/>
                      <w:color w:val="auto"/>
                      <w:u w:val="single"/>
                      <w14:ligatures w14:val="standardContextual"/>
                    </w:rPr>
                    <w:t>/</w:t>
                  </w:r>
                </w:p>
              </w:tc>
            </w:tr>
            <w:tr w14:paraId="24F4CB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628" w:type="dxa"/>
                  <w:vAlign w:val="top"/>
                </w:tcPr>
                <w:p w14:paraId="1E2B5F0E">
                  <w:pPr>
                    <w:widowControl w:val="0"/>
                    <w:overflowPunct w:val="0"/>
                    <w:autoSpaceDE w:val="0"/>
                    <w:autoSpaceDN w:val="0"/>
                    <w:snapToGrid w:val="0"/>
                    <w:jc w:val="center"/>
                    <w:rPr>
                      <w:color w:val="auto"/>
                      <w:u w:val="single"/>
                      <w14:ligatures w14:val="standardContextual"/>
                    </w:rPr>
                  </w:pPr>
                  <w:r>
                    <w:rPr>
                      <w:rFonts w:hint="eastAsia"/>
                      <w:color w:val="auto"/>
                      <w:u w:val="single"/>
                      <w14:ligatures w14:val="standardContextual"/>
                    </w:rPr>
                    <w:t>防霉腻子</w:t>
                  </w:r>
                </w:p>
              </w:tc>
              <w:tc>
                <w:tcPr>
                  <w:tcW w:w="1628" w:type="dxa"/>
                  <w:vAlign w:val="center"/>
                </w:tcPr>
                <w:p w14:paraId="00EA5D5A">
                  <w:pPr>
                    <w:widowControl w:val="0"/>
                    <w:overflowPunct w:val="0"/>
                    <w:autoSpaceDE w:val="0"/>
                    <w:autoSpaceDN w:val="0"/>
                    <w:snapToGrid w:val="0"/>
                    <w:jc w:val="center"/>
                    <w:rPr>
                      <w:color w:val="auto"/>
                      <w:u w:val="single"/>
                      <w14:ligatures w14:val="standardContextual"/>
                    </w:rPr>
                  </w:pPr>
                  <w:r>
                    <w:rPr>
                      <w:rFonts w:hint="eastAsia"/>
                      <w:color w:val="auto"/>
                      <w:u w:val="single"/>
                      <w14:ligatures w14:val="standardContextual"/>
                    </w:rPr>
                    <w:t>墙面</w:t>
                  </w:r>
                </w:p>
              </w:tc>
              <w:tc>
                <w:tcPr>
                  <w:tcW w:w="1628" w:type="dxa"/>
                  <w:vAlign w:val="center"/>
                </w:tcPr>
                <w:p w14:paraId="3A0C0130">
                  <w:pPr>
                    <w:widowControl w:val="0"/>
                    <w:overflowPunct w:val="0"/>
                    <w:autoSpaceDE w:val="0"/>
                    <w:autoSpaceDN w:val="0"/>
                    <w:snapToGrid w:val="0"/>
                    <w:jc w:val="center"/>
                    <w:rPr>
                      <w:color w:val="auto"/>
                      <w:u w:val="single"/>
                      <w14:ligatures w14:val="standardContextual"/>
                    </w:rPr>
                  </w:pPr>
                  <w:r>
                    <w:rPr>
                      <w:rFonts w:hint="eastAsia"/>
                      <w:color w:val="auto"/>
                      <w:u w:val="single"/>
                      <w14:ligatures w14:val="standardContextual"/>
                    </w:rPr>
                    <w:t>B1</w:t>
                  </w:r>
                </w:p>
              </w:tc>
              <w:tc>
                <w:tcPr>
                  <w:tcW w:w="1629" w:type="dxa"/>
                  <w:vAlign w:val="center"/>
                </w:tcPr>
                <w:p w14:paraId="799670D1">
                  <w:pPr>
                    <w:widowControl w:val="0"/>
                    <w:overflowPunct w:val="0"/>
                    <w:autoSpaceDE w:val="0"/>
                    <w:autoSpaceDN w:val="0"/>
                    <w:snapToGrid w:val="0"/>
                    <w:jc w:val="center"/>
                    <w:rPr>
                      <w:color w:val="auto"/>
                      <w:u w:val="single"/>
                      <w14:ligatures w14:val="standardContextual"/>
                    </w:rPr>
                  </w:pPr>
                  <w:r>
                    <w:rPr>
                      <w:rFonts w:hint="eastAsia"/>
                      <w:color w:val="auto"/>
                      <w:u w:val="single"/>
                      <w14:ligatures w14:val="standardContextual"/>
                    </w:rPr>
                    <w:t>650吨</w:t>
                  </w:r>
                </w:p>
              </w:tc>
              <w:tc>
                <w:tcPr>
                  <w:tcW w:w="1629" w:type="dxa"/>
                  <w:vAlign w:val="center"/>
                </w:tcPr>
                <w:p w14:paraId="1B72FA30">
                  <w:pPr>
                    <w:widowControl w:val="0"/>
                    <w:overflowPunct w:val="0"/>
                    <w:autoSpaceDE w:val="0"/>
                    <w:autoSpaceDN w:val="0"/>
                    <w:snapToGrid w:val="0"/>
                    <w:jc w:val="center"/>
                    <w:rPr>
                      <w:color w:val="auto"/>
                      <w:u w:val="single"/>
                      <w14:ligatures w14:val="standardContextual"/>
                    </w:rPr>
                  </w:pPr>
                  <w:bookmarkStart w:id="113" w:name="OLE_LINK52"/>
                  <w:r>
                    <w:rPr>
                      <w:rFonts w:hint="eastAsia"/>
                      <w:color w:val="auto"/>
                      <w:u w:val="single"/>
                      <w14:ligatures w14:val="standardContextual"/>
                    </w:rPr>
                    <w:t>VOC</w:t>
                  </w:r>
                  <w:bookmarkEnd w:id="113"/>
                  <w:r>
                    <w:rPr>
                      <w:rFonts w:hint="eastAsia"/>
                      <w:color w:val="auto"/>
                      <w:u w:val="single"/>
                      <w14:ligatures w14:val="standardContextual"/>
                    </w:rPr>
                    <w:t>含量6.5吨</w:t>
                  </w:r>
                </w:p>
              </w:tc>
            </w:tr>
            <w:tr w14:paraId="581EBD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628" w:type="dxa"/>
                  <w:vAlign w:val="top"/>
                </w:tcPr>
                <w:p w14:paraId="5E2D9D3E">
                  <w:pPr>
                    <w:widowControl w:val="0"/>
                    <w:overflowPunct w:val="0"/>
                    <w:autoSpaceDE w:val="0"/>
                    <w:autoSpaceDN w:val="0"/>
                    <w:snapToGrid w:val="0"/>
                    <w:jc w:val="center"/>
                    <w:rPr>
                      <w:color w:val="auto"/>
                      <w:u w:val="single"/>
                      <w14:ligatures w14:val="standardContextual"/>
                    </w:rPr>
                  </w:pPr>
                  <w:r>
                    <w:rPr>
                      <w:rFonts w:hint="eastAsia"/>
                      <w:color w:val="auto"/>
                      <w:u w:val="single"/>
                      <w14:ligatures w14:val="standardContextual"/>
                    </w:rPr>
                    <w:t>防水涂料</w:t>
                  </w:r>
                </w:p>
              </w:tc>
              <w:tc>
                <w:tcPr>
                  <w:tcW w:w="1628" w:type="dxa"/>
                  <w:vAlign w:val="center"/>
                </w:tcPr>
                <w:p w14:paraId="16F642A5">
                  <w:pPr>
                    <w:widowControl w:val="0"/>
                    <w:overflowPunct w:val="0"/>
                    <w:autoSpaceDE w:val="0"/>
                    <w:autoSpaceDN w:val="0"/>
                    <w:snapToGrid w:val="0"/>
                    <w:jc w:val="center"/>
                    <w:rPr>
                      <w:color w:val="auto"/>
                      <w:u w:val="single"/>
                      <w14:ligatures w14:val="standardContextual"/>
                    </w:rPr>
                  </w:pPr>
                  <w:r>
                    <w:rPr>
                      <w:rFonts w:hint="eastAsia"/>
                      <w:color w:val="auto"/>
                      <w:u w:val="single"/>
                      <w14:ligatures w14:val="standardContextual"/>
                    </w:rPr>
                    <w:t>墙面、</w:t>
                  </w:r>
                  <w:bookmarkStart w:id="114" w:name="OLE_LINK53"/>
                  <w:r>
                    <w:rPr>
                      <w:rFonts w:hint="eastAsia"/>
                      <w:color w:val="auto"/>
                      <w:u w:val="single"/>
                      <w14:ligatures w14:val="standardContextual"/>
                    </w:rPr>
                    <w:t>天花</w:t>
                  </w:r>
                  <w:bookmarkEnd w:id="114"/>
                </w:p>
              </w:tc>
              <w:tc>
                <w:tcPr>
                  <w:tcW w:w="1628" w:type="dxa"/>
                  <w:vAlign w:val="center"/>
                </w:tcPr>
                <w:p w14:paraId="006775BC">
                  <w:pPr>
                    <w:widowControl w:val="0"/>
                    <w:overflowPunct w:val="0"/>
                    <w:autoSpaceDE w:val="0"/>
                    <w:autoSpaceDN w:val="0"/>
                    <w:snapToGrid w:val="0"/>
                    <w:jc w:val="center"/>
                    <w:rPr>
                      <w:color w:val="auto"/>
                      <w:u w:val="single"/>
                      <w14:ligatures w14:val="standardContextual"/>
                    </w:rPr>
                  </w:pPr>
                  <w:r>
                    <w:rPr>
                      <w:rFonts w:hint="eastAsia"/>
                      <w:color w:val="auto"/>
                      <w:u w:val="single"/>
                      <w14:ligatures w14:val="standardContextual"/>
                    </w:rPr>
                    <w:t>B1</w:t>
                  </w:r>
                </w:p>
              </w:tc>
              <w:tc>
                <w:tcPr>
                  <w:tcW w:w="1629" w:type="dxa"/>
                  <w:vAlign w:val="center"/>
                </w:tcPr>
                <w:p w14:paraId="1C1C4CD8">
                  <w:pPr>
                    <w:widowControl w:val="0"/>
                    <w:overflowPunct w:val="0"/>
                    <w:autoSpaceDE w:val="0"/>
                    <w:autoSpaceDN w:val="0"/>
                    <w:snapToGrid w:val="0"/>
                    <w:jc w:val="center"/>
                    <w:rPr>
                      <w:color w:val="auto"/>
                      <w:u w:val="single"/>
                      <w14:ligatures w14:val="standardContextual"/>
                    </w:rPr>
                  </w:pPr>
                  <w:r>
                    <w:rPr>
                      <w:rFonts w:hint="eastAsia"/>
                      <w:color w:val="auto"/>
                      <w:u w:val="single"/>
                      <w14:ligatures w14:val="standardContextual"/>
                    </w:rPr>
                    <w:t>450吨</w:t>
                  </w:r>
                </w:p>
              </w:tc>
              <w:tc>
                <w:tcPr>
                  <w:tcW w:w="1629" w:type="dxa"/>
                  <w:vAlign w:val="center"/>
                </w:tcPr>
                <w:p w14:paraId="04BCC002">
                  <w:pPr>
                    <w:widowControl w:val="0"/>
                    <w:overflowPunct w:val="0"/>
                    <w:autoSpaceDE w:val="0"/>
                    <w:autoSpaceDN w:val="0"/>
                    <w:snapToGrid w:val="0"/>
                    <w:jc w:val="center"/>
                    <w:rPr>
                      <w:color w:val="auto"/>
                      <w:u w:val="single"/>
                      <w14:ligatures w14:val="standardContextual"/>
                    </w:rPr>
                  </w:pPr>
                  <w:r>
                    <w:rPr>
                      <w:rFonts w:hint="eastAsia"/>
                      <w:color w:val="auto"/>
                      <w:u w:val="single"/>
                      <w14:ligatures w14:val="standardContextual"/>
                    </w:rPr>
                    <w:t>VOC含量36吨。</w:t>
                  </w:r>
                </w:p>
              </w:tc>
            </w:tr>
            <w:tr w14:paraId="2B6A08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628" w:type="dxa"/>
                  <w:vAlign w:val="top"/>
                </w:tcPr>
                <w:p w14:paraId="2E6460B4">
                  <w:pPr>
                    <w:widowControl w:val="0"/>
                    <w:overflowPunct w:val="0"/>
                    <w:autoSpaceDE w:val="0"/>
                    <w:autoSpaceDN w:val="0"/>
                    <w:snapToGrid w:val="0"/>
                    <w:jc w:val="center"/>
                    <w:rPr>
                      <w:color w:val="auto"/>
                      <w:u w:val="single"/>
                      <w14:ligatures w14:val="standardContextual"/>
                    </w:rPr>
                  </w:pPr>
                  <w:r>
                    <w:rPr>
                      <w:rFonts w:hint="eastAsia"/>
                      <w:color w:val="auto"/>
                      <w:u w:val="single"/>
                      <w14:ligatures w14:val="standardContextual"/>
                    </w:rPr>
                    <w:t>无机涂料</w:t>
                  </w:r>
                </w:p>
              </w:tc>
              <w:tc>
                <w:tcPr>
                  <w:tcW w:w="1628" w:type="dxa"/>
                  <w:vAlign w:val="center"/>
                </w:tcPr>
                <w:p w14:paraId="5BDE9D33">
                  <w:pPr>
                    <w:widowControl w:val="0"/>
                    <w:overflowPunct w:val="0"/>
                    <w:autoSpaceDE w:val="0"/>
                    <w:autoSpaceDN w:val="0"/>
                    <w:snapToGrid w:val="0"/>
                    <w:jc w:val="center"/>
                    <w:rPr>
                      <w:color w:val="auto"/>
                      <w:u w:val="single"/>
                      <w14:ligatures w14:val="standardContextual"/>
                    </w:rPr>
                  </w:pPr>
                  <w:r>
                    <w:rPr>
                      <w:rFonts w:hint="eastAsia"/>
                      <w:color w:val="auto"/>
                      <w:u w:val="single"/>
                      <w14:ligatures w14:val="standardContextual"/>
                    </w:rPr>
                    <w:t>天花</w:t>
                  </w:r>
                </w:p>
              </w:tc>
              <w:tc>
                <w:tcPr>
                  <w:tcW w:w="1628" w:type="dxa"/>
                  <w:vAlign w:val="center"/>
                </w:tcPr>
                <w:p w14:paraId="06419622">
                  <w:pPr>
                    <w:widowControl w:val="0"/>
                    <w:overflowPunct w:val="0"/>
                    <w:autoSpaceDE w:val="0"/>
                    <w:autoSpaceDN w:val="0"/>
                    <w:snapToGrid w:val="0"/>
                    <w:jc w:val="center"/>
                    <w:rPr>
                      <w:color w:val="auto"/>
                      <w:u w:val="single"/>
                      <w14:ligatures w14:val="standardContextual"/>
                    </w:rPr>
                  </w:pPr>
                  <w:r>
                    <w:rPr>
                      <w:rFonts w:hint="eastAsia"/>
                      <w:color w:val="auto"/>
                      <w:u w:val="single"/>
                      <w14:ligatures w14:val="standardContextual"/>
                    </w:rPr>
                    <w:t>A</w:t>
                  </w:r>
                </w:p>
              </w:tc>
              <w:tc>
                <w:tcPr>
                  <w:tcW w:w="1629" w:type="dxa"/>
                  <w:vAlign w:val="center"/>
                </w:tcPr>
                <w:p w14:paraId="1D293958">
                  <w:pPr>
                    <w:widowControl w:val="0"/>
                    <w:overflowPunct w:val="0"/>
                    <w:autoSpaceDE w:val="0"/>
                    <w:autoSpaceDN w:val="0"/>
                    <w:snapToGrid w:val="0"/>
                    <w:jc w:val="center"/>
                    <w:rPr>
                      <w:color w:val="auto"/>
                      <w:u w:val="single"/>
                      <w14:ligatures w14:val="standardContextual"/>
                    </w:rPr>
                  </w:pPr>
                  <w:r>
                    <w:rPr>
                      <w:rFonts w:hint="eastAsia"/>
                      <w:color w:val="auto"/>
                      <w:u w:val="single"/>
                      <w14:ligatures w14:val="standardContextual"/>
                    </w:rPr>
                    <w:t>140吨</w:t>
                  </w:r>
                </w:p>
              </w:tc>
              <w:tc>
                <w:tcPr>
                  <w:tcW w:w="1629" w:type="dxa"/>
                  <w:vAlign w:val="center"/>
                </w:tcPr>
                <w:p w14:paraId="5189B823">
                  <w:pPr>
                    <w:widowControl w:val="0"/>
                    <w:overflowPunct w:val="0"/>
                    <w:autoSpaceDE w:val="0"/>
                    <w:autoSpaceDN w:val="0"/>
                    <w:snapToGrid w:val="0"/>
                    <w:jc w:val="center"/>
                    <w:rPr>
                      <w:color w:val="auto"/>
                      <w:u w:val="single"/>
                      <w14:ligatures w14:val="standardContextual"/>
                    </w:rPr>
                  </w:pPr>
                  <w:r>
                    <w:rPr>
                      <w:rFonts w:hint="eastAsia"/>
                      <w:color w:val="auto"/>
                      <w:u w:val="single"/>
                      <w14:ligatures w14:val="standardContextual"/>
                    </w:rPr>
                    <w:t>/</w:t>
                  </w:r>
                </w:p>
              </w:tc>
            </w:tr>
          </w:tbl>
          <w:p w14:paraId="05692C66">
            <w:pPr>
              <w:pStyle w:val="3"/>
              <w:ind w:firstLine="480"/>
              <w:rPr>
                <w:b/>
                <w:bCs/>
                <w:color w:val="auto"/>
                <w:u w:val="single"/>
              </w:rPr>
            </w:pPr>
            <w:r>
              <w:rPr>
                <w:rFonts w:hint="eastAsia"/>
                <w:color w:val="auto"/>
                <w:u w:val="single"/>
              </w:rPr>
              <w:t>参考GB 18582-2020《建筑用墙面涂料中有害物质限量》，腻子中VOC含量取10g/kg；墙面防水涂料采用抗碱封闭底漆，属于水性墙面涂料，VOC含量取80g/L，密度取1kg/L。</w:t>
            </w:r>
          </w:p>
          <w:p w14:paraId="3F925A73">
            <w:pPr>
              <w:pStyle w:val="3"/>
              <w:ind w:firstLine="482"/>
              <w:rPr>
                <w:color w:val="auto"/>
                <w:u w:val="single"/>
              </w:rPr>
            </w:pPr>
            <w:r>
              <w:rPr>
                <w:rFonts w:hint="eastAsia"/>
                <w:b/>
                <w:bCs/>
                <w:color w:val="auto"/>
                <w:u w:val="single"/>
              </w:rPr>
              <w:t>地面工程做法：</w:t>
            </w:r>
            <w:r>
              <w:rPr>
                <w:rFonts w:hint="eastAsia"/>
                <w:color w:val="auto"/>
                <w:u w:val="single"/>
              </w:rPr>
              <w:t>喷洒两遍配套固化剂，表面抛光；50厚C30细石混凝土表面磨光、初凝时表面压入非金属耐磨骨料（混凝土设6X6米分隔缝、耐磨骨料分次掺入、掺量为每平方不小于6Kg/平方米）；素水泥浆一道；原混凝土面打磨、凿毛、修复、除尘。</w:t>
            </w:r>
          </w:p>
          <w:p w14:paraId="1F6CD597">
            <w:pPr>
              <w:pStyle w:val="51"/>
              <w:rPr>
                <w:color w:val="FF0000"/>
              </w:rPr>
            </w:pPr>
            <w:r>
              <w:rPr>
                <w:color w:val="FF0000"/>
              </w:rPr>
              <w:drawing>
                <wp:inline distT="0" distB="0" distL="0" distR="0">
                  <wp:extent cx="2169160" cy="1842135"/>
                  <wp:effectExtent l="0" t="0" r="2540" b="5715"/>
                  <wp:docPr id="1042815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81579" name="图片 1"/>
                          <pic:cNvPicPr>
                            <a:picLocks noChangeAspect="1"/>
                          </pic:cNvPicPr>
                        </pic:nvPicPr>
                        <pic:blipFill>
                          <a:blip r:embed="rId14"/>
                          <a:stretch>
                            <a:fillRect/>
                          </a:stretch>
                        </pic:blipFill>
                        <pic:spPr>
                          <a:xfrm>
                            <a:off x="0" y="0"/>
                            <a:ext cx="2170172" cy="1842805"/>
                          </a:xfrm>
                          <a:prstGeom prst="rect">
                            <a:avLst/>
                          </a:prstGeom>
                        </pic:spPr>
                      </pic:pic>
                    </a:graphicData>
                  </a:graphic>
                </wp:inline>
              </w:drawing>
            </w:r>
          </w:p>
          <w:p w14:paraId="32CA7498">
            <w:pPr>
              <w:pStyle w:val="49"/>
              <w:rPr>
                <w:color w:val="auto"/>
              </w:rPr>
            </w:pPr>
            <w:bookmarkStart w:id="115" w:name="OLE_LINK46"/>
            <w:r>
              <w:rPr>
                <w:rFonts w:hint="eastAsia"/>
                <w:color w:val="auto"/>
              </w:rPr>
              <w:t xml:space="preserve">图2- </w:t>
            </w:r>
            <w:r>
              <w:rPr>
                <w:color w:val="auto"/>
              </w:rPr>
              <w:fldChar w:fldCharType="begin"/>
            </w:r>
            <w:r>
              <w:rPr>
                <w:color w:val="auto"/>
              </w:rPr>
              <w:instrText xml:space="preserve"> </w:instrText>
            </w:r>
            <w:r>
              <w:rPr>
                <w:rFonts w:hint="eastAsia"/>
                <w:color w:val="auto"/>
              </w:rPr>
              <w:instrText xml:space="preserve">SEQ 图2- \* ARABIC</w:instrText>
            </w:r>
            <w:r>
              <w:rPr>
                <w:color w:val="auto"/>
              </w:rPr>
              <w:instrText xml:space="preserve"> </w:instrText>
            </w:r>
            <w:r>
              <w:rPr>
                <w:color w:val="auto"/>
              </w:rPr>
              <w:fldChar w:fldCharType="separate"/>
            </w:r>
            <w:r>
              <w:rPr>
                <w:color w:val="auto"/>
              </w:rPr>
              <w:t>2</w:t>
            </w:r>
            <w:r>
              <w:rPr>
                <w:color w:val="auto"/>
              </w:rPr>
              <w:fldChar w:fldCharType="end"/>
            </w:r>
            <w:r>
              <w:rPr>
                <w:rFonts w:hint="eastAsia"/>
                <w:color w:val="auto"/>
              </w:rPr>
              <w:t>：</w:t>
            </w:r>
            <w:bookmarkEnd w:id="115"/>
            <w:r>
              <w:rPr>
                <w:rFonts w:hint="eastAsia"/>
                <w:color w:val="auto"/>
              </w:rPr>
              <w:t>地面工程做法图</w:t>
            </w:r>
          </w:p>
          <w:p w14:paraId="2FEE6956">
            <w:pPr>
              <w:pStyle w:val="3"/>
              <w:ind w:firstLine="482"/>
              <w:rPr>
                <w:color w:val="auto"/>
                <w:u w:val="single"/>
              </w:rPr>
            </w:pPr>
            <w:r>
              <w:rPr>
                <w:rFonts w:hint="eastAsia"/>
                <w:b/>
                <w:bCs/>
                <w:color w:val="auto"/>
                <w:u w:val="single"/>
              </w:rPr>
              <w:t>墙面工程做法：</w:t>
            </w:r>
            <w:r>
              <w:rPr>
                <w:rFonts w:hint="eastAsia"/>
                <w:color w:val="auto"/>
                <w:u w:val="single"/>
              </w:rPr>
              <w:t>①普通墙体：满刮防霉腻子两遍；抗碱封闭底漆；原水泥砂浆墙面，清理干净，打磨平整。②踢脚线：表面刷灰色防水涂料；</w:t>
            </w:r>
            <w:bookmarkStart w:id="116" w:name="OLE_LINK47"/>
            <w:r>
              <w:rPr>
                <w:rFonts w:hint="eastAsia"/>
                <w:color w:val="auto"/>
                <w:u w:val="single"/>
              </w:rPr>
              <w:t>抗碱封闭底漆</w:t>
            </w:r>
            <w:bookmarkEnd w:id="116"/>
            <w:r>
              <w:rPr>
                <w:rFonts w:hint="eastAsia"/>
                <w:color w:val="auto"/>
                <w:u w:val="single"/>
              </w:rPr>
              <w:t>；表面刷灰色防水涂料；抗碱封闭底漆；原水泥砂浆墙面，清理干净，打磨平整。</w:t>
            </w:r>
          </w:p>
          <w:p w14:paraId="37E1E3FE">
            <w:pPr>
              <w:pStyle w:val="51"/>
              <w:rPr>
                <w:color w:val="FF0000"/>
              </w:rPr>
            </w:pPr>
            <w:r>
              <w:rPr>
                <w:color w:val="FF0000"/>
              </w:rPr>
              <w:drawing>
                <wp:inline distT="0" distB="0" distL="0" distR="0">
                  <wp:extent cx="3472815" cy="2342515"/>
                  <wp:effectExtent l="0" t="0" r="0" b="635"/>
                  <wp:docPr id="15532054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205485" name="图片 1"/>
                          <pic:cNvPicPr>
                            <a:picLocks noChangeAspect="1"/>
                          </pic:cNvPicPr>
                        </pic:nvPicPr>
                        <pic:blipFill>
                          <a:blip r:embed="rId15"/>
                          <a:stretch>
                            <a:fillRect/>
                          </a:stretch>
                        </pic:blipFill>
                        <pic:spPr>
                          <a:xfrm>
                            <a:off x="0" y="0"/>
                            <a:ext cx="3473356" cy="2342653"/>
                          </a:xfrm>
                          <a:prstGeom prst="rect">
                            <a:avLst/>
                          </a:prstGeom>
                        </pic:spPr>
                      </pic:pic>
                    </a:graphicData>
                  </a:graphic>
                </wp:inline>
              </w:drawing>
            </w:r>
          </w:p>
          <w:p w14:paraId="43B44B4B">
            <w:pPr>
              <w:pStyle w:val="49"/>
              <w:rPr>
                <w:color w:val="auto"/>
                <w:u w:val="single"/>
              </w:rPr>
            </w:pPr>
            <w:r>
              <w:rPr>
                <w:rFonts w:hint="eastAsia"/>
                <w:color w:val="auto"/>
                <w:u w:val="single"/>
              </w:rPr>
              <w:t xml:space="preserve">图2- </w:t>
            </w:r>
            <w:r>
              <w:rPr>
                <w:color w:val="auto"/>
                <w:u w:val="single"/>
              </w:rPr>
              <w:fldChar w:fldCharType="begin"/>
            </w:r>
            <w:r>
              <w:rPr>
                <w:color w:val="auto"/>
                <w:u w:val="single"/>
              </w:rPr>
              <w:instrText xml:space="preserve"> </w:instrText>
            </w:r>
            <w:r>
              <w:rPr>
                <w:rFonts w:hint="eastAsia"/>
                <w:color w:val="auto"/>
                <w:u w:val="single"/>
              </w:rPr>
              <w:instrText xml:space="preserve">SEQ 图2- \* ARABIC</w:instrText>
            </w:r>
            <w:r>
              <w:rPr>
                <w:color w:val="auto"/>
                <w:u w:val="single"/>
              </w:rPr>
              <w:instrText xml:space="preserve"> </w:instrText>
            </w:r>
            <w:r>
              <w:rPr>
                <w:color w:val="auto"/>
                <w:u w:val="single"/>
              </w:rPr>
              <w:fldChar w:fldCharType="separate"/>
            </w:r>
            <w:r>
              <w:rPr>
                <w:color w:val="auto"/>
                <w:u w:val="single"/>
              </w:rPr>
              <w:t>3</w:t>
            </w:r>
            <w:r>
              <w:rPr>
                <w:color w:val="auto"/>
                <w:u w:val="single"/>
              </w:rPr>
              <w:fldChar w:fldCharType="end"/>
            </w:r>
            <w:r>
              <w:rPr>
                <w:rFonts w:hint="eastAsia"/>
                <w:color w:val="auto"/>
                <w:u w:val="single"/>
              </w:rPr>
              <w:t>：墙面工程做法图</w:t>
            </w:r>
          </w:p>
          <w:p w14:paraId="75AB26D5">
            <w:pPr>
              <w:pStyle w:val="3"/>
              <w:ind w:firstLine="480"/>
              <w:rPr>
                <w:color w:val="auto"/>
                <w:u w:val="single"/>
              </w:rPr>
            </w:pPr>
            <w:r>
              <w:rPr>
                <w:rFonts w:hint="eastAsia"/>
                <w:color w:val="auto"/>
                <w:u w:val="single"/>
              </w:rPr>
              <w:t>天花工程做法：表面喷刷无机涂料一底两面2mm厚；抗碱封闭底漆；原钢筋混凝土楼板清理干净。</w:t>
            </w:r>
          </w:p>
          <w:p w14:paraId="421A4AA9">
            <w:pPr>
              <w:pStyle w:val="51"/>
              <w:rPr>
                <w:color w:val="FF0000"/>
              </w:rPr>
            </w:pPr>
            <w:r>
              <w:rPr>
                <w:color w:val="FF0000"/>
              </w:rPr>
              <w:drawing>
                <wp:inline distT="0" distB="0" distL="0" distR="0">
                  <wp:extent cx="1855470" cy="1440815"/>
                  <wp:effectExtent l="0" t="0" r="0" b="6985"/>
                  <wp:docPr id="13882244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224454" name="图片 1"/>
                          <pic:cNvPicPr>
                            <a:picLocks noChangeAspect="1"/>
                          </pic:cNvPicPr>
                        </pic:nvPicPr>
                        <pic:blipFill>
                          <a:blip r:embed="rId16"/>
                          <a:stretch>
                            <a:fillRect/>
                          </a:stretch>
                        </pic:blipFill>
                        <pic:spPr>
                          <a:xfrm>
                            <a:off x="0" y="0"/>
                            <a:ext cx="1856435" cy="1441097"/>
                          </a:xfrm>
                          <a:prstGeom prst="rect">
                            <a:avLst/>
                          </a:prstGeom>
                        </pic:spPr>
                      </pic:pic>
                    </a:graphicData>
                  </a:graphic>
                </wp:inline>
              </w:drawing>
            </w:r>
          </w:p>
          <w:p w14:paraId="259333CC">
            <w:pPr>
              <w:pStyle w:val="49"/>
              <w:rPr>
                <w:color w:val="FF0000"/>
              </w:rPr>
            </w:pPr>
            <w:bookmarkStart w:id="117" w:name="OLE_LINK63"/>
            <w:r>
              <w:rPr>
                <w:rFonts w:hint="eastAsia"/>
                <w:color w:val="auto"/>
                <w:u w:val="single"/>
              </w:rPr>
              <w:t xml:space="preserve">图2- </w:t>
            </w:r>
            <w:r>
              <w:rPr>
                <w:color w:val="auto"/>
                <w:u w:val="single"/>
              </w:rPr>
              <w:fldChar w:fldCharType="begin"/>
            </w:r>
            <w:r>
              <w:rPr>
                <w:color w:val="auto"/>
                <w:u w:val="single"/>
              </w:rPr>
              <w:instrText xml:space="preserve"> </w:instrText>
            </w:r>
            <w:r>
              <w:rPr>
                <w:rFonts w:hint="eastAsia"/>
                <w:color w:val="auto"/>
                <w:u w:val="single"/>
              </w:rPr>
              <w:instrText xml:space="preserve">SEQ 图2- \* ARABIC</w:instrText>
            </w:r>
            <w:r>
              <w:rPr>
                <w:color w:val="auto"/>
                <w:u w:val="single"/>
              </w:rPr>
              <w:instrText xml:space="preserve"> </w:instrText>
            </w:r>
            <w:r>
              <w:rPr>
                <w:color w:val="auto"/>
                <w:u w:val="single"/>
              </w:rPr>
              <w:fldChar w:fldCharType="separate"/>
            </w:r>
            <w:r>
              <w:rPr>
                <w:color w:val="auto"/>
                <w:u w:val="single"/>
              </w:rPr>
              <w:t>4</w:t>
            </w:r>
            <w:r>
              <w:rPr>
                <w:color w:val="auto"/>
                <w:u w:val="single"/>
              </w:rPr>
              <w:fldChar w:fldCharType="end"/>
            </w:r>
            <w:r>
              <w:rPr>
                <w:rFonts w:hint="eastAsia"/>
                <w:color w:val="auto"/>
                <w:u w:val="single"/>
              </w:rPr>
              <w:t>：</w:t>
            </w:r>
            <w:bookmarkEnd w:id="117"/>
            <w:r>
              <w:rPr>
                <w:rFonts w:hint="eastAsia"/>
                <w:color w:val="auto"/>
                <w:u w:val="single"/>
              </w:rPr>
              <w:t>天花工程做法图</w:t>
            </w:r>
          </w:p>
          <w:p w14:paraId="763A0783">
            <w:pPr>
              <w:pStyle w:val="3"/>
              <w:ind w:firstLine="480"/>
            </w:pPr>
          </w:p>
          <w:p w14:paraId="4B4E36B6">
            <w:pPr>
              <w:pStyle w:val="3"/>
              <w:ind w:firstLine="480"/>
            </w:pPr>
            <w:r>
              <w:rPr>
                <w:rFonts w:hint="eastAsia"/>
              </w:rPr>
              <w:t>2、光伏发电</w:t>
            </w:r>
          </w:p>
          <w:p w14:paraId="4FD89E7A">
            <w:pPr>
              <w:pStyle w:val="3"/>
              <w:ind w:firstLine="480"/>
            </w:pPr>
            <w:r>
              <w:rPr>
                <w:rFonts w:hint="eastAsia"/>
              </w:rPr>
              <w:t>主要建设内容包括光伏支架、光伏组件、逆变装置、配套防雷工程、通信、10kV 配电工程以及防腐等。其中，混凝土屋顶面积18238.69㎡，可建利用面积10942.8㎡，装机容量2.17MW；彩钢瓦屋面21652.3㎡，可建利用面积12991.38㎡，装机容量2.44MW；</w:t>
            </w:r>
          </w:p>
          <w:p w14:paraId="00FF6F7C">
            <w:pPr>
              <w:pStyle w:val="3"/>
              <w:ind w:firstLine="482"/>
              <w:rPr>
                <w:b/>
                <w:bCs/>
                <w:color w:val="auto"/>
                <w:u w:val="single"/>
              </w:rPr>
            </w:pPr>
            <w:r>
              <w:rPr>
                <w:rFonts w:hint="eastAsia"/>
                <w:b/>
                <w:bCs/>
                <w:color w:val="auto"/>
                <w:u w:val="single"/>
              </w:rPr>
              <w:t>本项目光伏发电工程另行评价，不在本次环评之内。</w:t>
            </w:r>
          </w:p>
          <w:p w14:paraId="4E6A927D">
            <w:pPr>
              <w:pStyle w:val="3"/>
              <w:ind w:firstLine="480"/>
            </w:pPr>
            <w:r>
              <w:rPr>
                <w:rFonts w:hint="eastAsia"/>
              </w:rPr>
              <w:t>3、供热管道及生物质锅炉</w:t>
            </w:r>
          </w:p>
          <w:p w14:paraId="4634D112">
            <w:pPr>
              <w:pStyle w:val="3"/>
              <w:ind w:firstLine="480"/>
              <w:rPr>
                <w:color w:val="auto"/>
                <w:u w:val="single"/>
              </w:rPr>
            </w:pPr>
            <w:r>
              <w:rPr>
                <w:rFonts w:hint="eastAsia"/>
              </w:rPr>
              <w:t>计划在中马能源公司现有273*7mm管道的预留接口建设蒸汽管道锦绣大道向北延伸至马来西亚中小企业集聚区标准厂房及配套设施建设项目。</w:t>
            </w:r>
            <w:r>
              <w:rPr>
                <w:rFonts w:hint="eastAsia"/>
                <w:color w:val="auto"/>
                <w:u w:val="single"/>
              </w:rPr>
              <w:t>供热管道总长度1.6公里，设计压力1.4Mpa。路由以锦绣大道与云顶大街交叉口东北角为起点，沿锦绣大道东侧绿化控制带向北至马来西亚中小企业集聚区标准厂房及配套设施建设项目二期西侧(详见附件)，按过渡期进行建设，使用期内，因城市规划建设需要时必须无条件拆除。</w:t>
            </w:r>
          </w:p>
          <w:p w14:paraId="5ACB1254">
            <w:pPr>
              <w:pStyle w:val="3"/>
              <w:ind w:firstLine="480"/>
              <w:rPr>
                <w:color w:val="auto"/>
                <w:u w:val="single"/>
              </w:rPr>
            </w:pPr>
            <w:r>
              <w:rPr>
                <w:rFonts w:hint="eastAsia"/>
                <w:color w:val="auto"/>
                <w:u w:val="single"/>
              </w:rPr>
              <w:t>管道建设尽可能靠近相邻地块用地红线（围墙），建设形式整体采用低架空敷设方式(支墩高地面0.3米)为主，米龙街、马莱大道和项目用地出入口采用下穿直埋敷设方式。</w:t>
            </w:r>
          </w:p>
          <w:p w14:paraId="751F6C23">
            <w:pPr>
              <w:pStyle w:val="3"/>
              <w:ind w:firstLine="480"/>
            </w:pPr>
            <w:r>
              <w:rPr>
                <w:rFonts w:hint="eastAsia"/>
              </w:rPr>
              <w:t>本项目在靠近马莱大道侧的锅炉房内，安装4台8吨/小时生物质锅炉，辅助蒸汽管网满足企业的用热需求。</w:t>
            </w:r>
          </w:p>
          <w:p w14:paraId="4520536C">
            <w:pPr>
              <w:pStyle w:val="3"/>
              <w:ind w:firstLine="480"/>
            </w:pPr>
            <w:r>
              <w:rPr>
                <w:rFonts w:hint="eastAsia"/>
              </w:rPr>
              <w:t>4、仓储系统工程</w:t>
            </w:r>
          </w:p>
          <w:p w14:paraId="27FEB7E3">
            <w:pPr>
              <w:pStyle w:val="3"/>
              <w:ind w:firstLine="480"/>
              <w:rPr>
                <w:color w:val="auto"/>
                <w:u w:val="single"/>
              </w:rPr>
            </w:pPr>
            <w:r>
              <w:rPr>
                <w:rFonts w:hint="eastAsia"/>
                <w:color w:val="auto"/>
                <w:u w:val="single"/>
              </w:rPr>
              <w:t>本工程仅涉及设备安装，不涉及具体运营项目。</w:t>
            </w:r>
          </w:p>
          <w:p w14:paraId="2784668B">
            <w:pPr>
              <w:pStyle w:val="3"/>
              <w:ind w:firstLine="480"/>
            </w:pPr>
            <w:r>
              <w:rPr>
                <w:rFonts w:hint="eastAsia"/>
              </w:rPr>
              <w:t>本次一共安装堆垛架货架数量为10000套，标准配置为4层，可根据实际需求增减层数。</w:t>
            </w:r>
          </w:p>
          <w:p w14:paraId="5047A146">
            <w:pPr>
              <w:pStyle w:val="3"/>
              <w:ind w:firstLine="480"/>
            </w:pPr>
            <w:r>
              <w:rPr>
                <w:rFonts w:hint="eastAsia"/>
              </w:rPr>
              <w:t>仓储内部运输及堆叠工具采用坐驾式平衡重叉车，同时具备运输和堆叠功能，配备2台，关键参数要求：操作方式：坐驾式，动力：电动，载重：‹1.0吨，提升高度：3-7米，轮胎类型：冲压实心，及其他。</w:t>
            </w:r>
          </w:p>
          <w:p w14:paraId="2B2A7E9E">
            <w:pPr>
              <w:pStyle w:val="49"/>
              <w:rPr>
                <w:color w:val="auto"/>
                <w:u w:val="single"/>
              </w:rPr>
            </w:pPr>
            <w:bookmarkStart w:id="118" w:name="OLE_LINK61"/>
            <w:r>
              <w:rPr>
                <w:rFonts w:hint="eastAsia"/>
                <w:color w:val="auto"/>
                <w:u w:val="single"/>
              </w:rPr>
              <w:t xml:space="preserve">表2- </w:t>
            </w:r>
            <w:r>
              <w:rPr>
                <w:color w:val="auto"/>
                <w:u w:val="single"/>
              </w:rPr>
              <w:fldChar w:fldCharType="begin"/>
            </w:r>
            <w:r>
              <w:rPr>
                <w:color w:val="auto"/>
                <w:u w:val="single"/>
              </w:rPr>
              <w:instrText xml:space="preserve"> </w:instrText>
            </w:r>
            <w:r>
              <w:rPr>
                <w:rFonts w:hint="eastAsia"/>
                <w:color w:val="auto"/>
                <w:u w:val="single"/>
              </w:rPr>
              <w:instrText xml:space="preserve">SEQ 表2- \* ARABIC</w:instrText>
            </w:r>
            <w:r>
              <w:rPr>
                <w:color w:val="auto"/>
                <w:u w:val="single"/>
              </w:rPr>
              <w:instrText xml:space="preserve"> </w:instrText>
            </w:r>
            <w:r>
              <w:rPr>
                <w:color w:val="auto"/>
                <w:u w:val="single"/>
              </w:rPr>
              <w:fldChar w:fldCharType="separate"/>
            </w:r>
            <w:r>
              <w:rPr>
                <w:color w:val="auto"/>
                <w:u w:val="single"/>
              </w:rPr>
              <w:t>7</w:t>
            </w:r>
            <w:r>
              <w:rPr>
                <w:color w:val="auto"/>
                <w:u w:val="single"/>
              </w:rPr>
              <w:fldChar w:fldCharType="end"/>
            </w:r>
            <w:r>
              <w:rPr>
                <w:rFonts w:hint="eastAsia"/>
                <w:color w:val="auto"/>
                <w:u w:val="single"/>
              </w:rPr>
              <w:t>：</w:t>
            </w:r>
            <w:bookmarkEnd w:id="118"/>
            <w:r>
              <w:rPr>
                <w:rFonts w:hint="eastAsia"/>
                <w:color w:val="auto"/>
                <w:u w:val="single"/>
              </w:rPr>
              <w:t>堆垛架主要配置及技术参数综合说明表</w:t>
            </w:r>
          </w:p>
          <w:tbl>
            <w:tblPr>
              <w:tblStyle w:val="5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706"/>
              <w:gridCol w:w="2268"/>
              <w:gridCol w:w="2977"/>
              <w:gridCol w:w="2201"/>
            </w:tblGrid>
            <w:tr w14:paraId="33189E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706" w:type="dxa"/>
                  <w:tcBorders>
                    <w:top w:val="single" w:color="auto" w:sz="12" w:space="0"/>
                    <w:left w:val="nil"/>
                    <w:bottom w:val="single" w:color="auto" w:sz="12" w:space="0"/>
                    <w:right w:val="single" w:color="auto" w:sz="4" w:space="0"/>
                    <w:insideH w:val="single" w:sz="12" w:space="0"/>
                    <w:insideV w:val="single" w:sz="4" w:space="0"/>
                    <w:tl2br w:val="nil"/>
                    <w:tr2bl w:val="nil"/>
                  </w:tcBorders>
                  <w:vAlign w:val="center"/>
                </w:tcPr>
                <w:p w14:paraId="36F4DE28">
                  <w:pPr>
                    <w:keepLines w:val="0"/>
                    <w:widowControl w:val="0"/>
                    <w:suppressLineNumbers w:val="0"/>
                    <w:suppressAutoHyphens w:val="0"/>
                    <w:wordWrap w:val="0"/>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sz w:val="21"/>
                      <w:szCs w:val="21"/>
                      <w:u w:val="single"/>
                      <w14:ligatures w14:val="standardContextual"/>
                    </w:rPr>
                  </w:pPr>
                  <w:r>
                    <w:rPr>
                      <w:rFonts w:hint="eastAsia" w:ascii="Times New Roman" w:hAnsi="Times New Roman" w:eastAsia="宋体" w:cs="Times New Roman"/>
                      <w:b/>
                      <w:i w:val="0"/>
                      <w:color w:val="auto"/>
                      <w:sz w:val="21"/>
                      <w:szCs w:val="21"/>
                      <w:u w:val="single"/>
                      <w14:ligatures w14:val="standardContextual"/>
                    </w:rPr>
                    <w:t>序号</w:t>
                  </w:r>
                </w:p>
              </w:tc>
              <w:tc>
                <w:tcPr>
                  <w:tcW w:w="2268" w:type="dxa"/>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6AFB73CE">
                  <w:pPr>
                    <w:keepLines w:val="0"/>
                    <w:widowControl w:val="0"/>
                    <w:suppressLineNumbers w:val="0"/>
                    <w:suppressAutoHyphens w:val="0"/>
                    <w:wordWrap w:val="0"/>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sz w:val="21"/>
                      <w:szCs w:val="21"/>
                      <w:u w:val="single"/>
                      <w14:ligatures w14:val="standardContextual"/>
                    </w:rPr>
                  </w:pPr>
                  <w:r>
                    <w:rPr>
                      <w:rFonts w:hint="eastAsia" w:ascii="Times New Roman" w:hAnsi="Times New Roman" w:eastAsia="宋体" w:cs="Times New Roman"/>
                      <w:b/>
                      <w:i w:val="0"/>
                      <w:color w:val="auto"/>
                      <w:sz w:val="21"/>
                      <w:szCs w:val="21"/>
                      <w:u w:val="single"/>
                      <w14:ligatures w14:val="standardContextual"/>
                    </w:rPr>
                    <w:t>内容</w:t>
                  </w:r>
                </w:p>
              </w:tc>
              <w:tc>
                <w:tcPr>
                  <w:tcW w:w="2977" w:type="dxa"/>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4B96866B">
                  <w:pPr>
                    <w:keepLines w:val="0"/>
                    <w:widowControl w:val="0"/>
                    <w:suppressLineNumbers w:val="0"/>
                    <w:suppressAutoHyphens w:val="0"/>
                    <w:wordWrap w:val="0"/>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sz w:val="21"/>
                      <w:szCs w:val="21"/>
                      <w:u w:val="single"/>
                      <w14:ligatures w14:val="standardContextual"/>
                    </w:rPr>
                  </w:pPr>
                  <w:r>
                    <w:rPr>
                      <w:rFonts w:hint="eastAsia" w:ascii="Times New Roman" w:hAnsi="Times New Roman" w:eastAsia="宋体" w:cs="Times New Roman"/>
                      <w:b/>
                      <w:i w:val="0"/>
                      <w:color w:val="auto"/>
                      <w:sz w:val="21"/>
                      <w:szCs w:val="21"/>
                      <w:u w:val="single"/>
                      <w14:ligatures w14:val="standardContextual"/>
                    </w:rPr>
                    <w:t>参数或规格</w:t>
                  </w:r>
                </w:p>
              </w:tc>
              <w:tc>
                <w:tcPr>
                  <w:tcW w:w="2201" w:type="dxa"/>
                  <w:tcBorders>
                    <w:top w:val="single" w:color="auto" w:sz="12" w:space="0"/>
                    <w:bottom w:val="single" w:color="auto" w:sz="12" w:space="0"/>
                    <w:right w:val="nil"/>
                    <w:insideH w:val="single" w:sz="12" w:space="0"/>
                    <w:insideV w:val="single" w:sz="4" w:space="0"/>
                    <w:tl2br w:val="nil"/>
                    <w:tr2bl w:val="nil"/>
                  </w:tcBorders>
                  <w:vAlign w:val="center"/>
                </w:tcPr>
                <w:p w14:paraId="68AF95F4">
                  <w:pPr>
                    <w:keepLines w:val="0"/>
                    <w:widowControl w:val="0"/>
                    <w:suppressLineNumbers w:val="0"/>
                    <w:suppressAutoHyphens w:val="0"/>
                    <w:wordWrap w:val="0"/>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sz w:val="21"/>
                      <w:szCs w:val="21"/>
                      <w:u w:val="single"/>
                      <w14:ligatures w14:val="standardContextual"/>
                    </w:rPr>
                  </w:pPr>
                  <w:r>
                    <w:rPr>
                      <w:rFonts w:hint="eastAsia" w:ascii="Times New Roman" w:hAnsi="Times New Roman" w:eastAsia="宋体" w:cs="Times New Roman"/>
                      <w:b/>
                      <w:i w:val="0"/>
                      <w:color w:val="auto"/>
                      <w:sz w:val="21"/>
                      <w:szCs w:val="21"/>
                      <w:u w:val="single"/>
                      <w14:ligatures w14:val="standardContextual"/>
                    </w:rPr>
                    <w:t>备注</w:t>
                  </w:r>
                </w:p>
              </w:tc>
            </w:tr>
            <w:tr w14:paraId="68C694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706" w:type="dxa"/>
                  <w:vAlign w:val="center"/>
                </w:tcPr>
                <w:p w14:paraId="528E7E1E">
                  <w:pPr>
                    <w:widowControl w:val="0"/>
                    <w:wordWrap w:val="0"/>
                    <w:overflowPunct w:val="0"/>
                    <w:autoSpaceDE w:val="0"/>
                    <w:autoSpaceDN w:val="0"/>
                    <w:snapToGrid w:val="0"/>
                    <w:jc w:val="center"/>
                    <w:rPr>
                      <w:color w:val="auto"/>
                      <w:u w:val="single"/>
                      <w14:ligatures w14:val="standardContextual"/>
                    </w:rPr>
                  </w:pPr>
                  <w:r>
                    <w:rPr>
                      <w:rFonts w:hint="eastAsia"/>
                      <w:color w:val="auto"/>
                      <w:u w:val="single"/>
                      <w14:ligatures w14:val="standardContextual"/>
                    </w:rPr>
                    <w:t>1</w:t>
                  </w:r>
                </w:p>
              </w:tc>
              <w:tc>
                <w:tcPr>
                  <w:tcW w:w="2268" w:type="dxa"/>
                  <w:vAlign w:val="center"/>
                </w:tcPr>
                <w:p w14:paraId="3F892D59">
                  <w:pPr>
                    <w:widowControl w:val="0"/>
                    <w:wordWrap w:val="0"/>
                    <w:overflowPunct w:val="0"/>
                    <w:autoSpaceDE w:val="0"/>
                    <w:autoSpaceDN w:val="0"/>
                    <w:snapToGrid w:val="0"/>
                    <w:jc w:val="center"/>
                    <w:rPr>
                      <w:color w:val="auto"/>
                      <w:u w:val="single"/>
                      <w14:ligatures w14:val="standardContextual"/>
                    </w:rPr>
                  </w:pPr>
                  <w:r>
                    <w:rPr>
                      <w:rFonts w:hint="eastAsia"/>
                      <w:color w:val="auto"/>
                      <w:u w:val="single"/>
                      <w14:ligatures w14:val="standardContextual"/>
                    </w:rPr>
                    <w:t>规格尺寸</w:t>
                  </w:r>
                </w:p>
              </w:tc>
              <w:tc>
                <w:tcPr>
                  <w:tcW w:w="2977" w:type="dxa"/>
                  <w:vAlign w:val="center"/>
                </w:tcPr>
                <w:p w14:paraId="0C9D911E">
                  <w:pPr>
                    <w:widowControl w:val="0"/>
                    <w:wordWrap w:val="0"/>
                    <w:overflowPunct w:val="0"/>
                    <w:autoSpaceDE w:val="0"/>
                    <w:autoSpaceDN w:val="0"/>
                    <w:snapToGrid w:val="0"/>
                    <w:jc w:val="center"/>
                    <w:rPr>
                      <w:color w:val="auto"/>
                      <w:u w:val="single"/>
                      <w14:ligatures w14:val="standardContextual"/>
                    </w:rPr>
                  </w:pPr>
                  <w:r>
                    <w:rPr>
                      <w:rFonts w:hint="eastAsia"/>
                      <w:color w:val="auto"/>
                      <w:u w:val="single"/>
                      <w14:ligatures w14:val="standardContextual"/>
                    </w:rPr>
                    <w:t>①外径L 1200mm*W1200mm*H1800mm</w:t>
                  </w:r>
                </w:p>
              </w:tc>
              <w:tc>
                <w:tcPr>
                  <w:tcW w:w="2201" w:type="dxa"/>
                  <w:vAlign w:val="center"/>
                </w:tcPr>
                <w:p w14:paraId="13D4E0F3">
                  <w:pPr>
                    <w:widowControl w:val="0"/>
                    <w:wordWrap w:val="0"/>
                    <w:overflowPunct w:val="0"/>
                    <w:autoSpaceDE w:val="0"/>
                    <w:autoSpaceDN w:val="0"/>
                    <w:snapToGrid w:val="0"/>
                    <w:jc w:val="center"/>
                    <w:rPr>
                      <w:color w:val="auto"/>
                      <w:u w:val="single"/>
                      <w14:ligatures w14:val="standardContextual"/>
                    </w:rPr>
                  </w:pPr>
                  <w:r>
                    <w:rPr>
                      <w:rFonts w:hint="eastAsia"/>
                      <w:color w:val="auto"/>
                      <w:u w:val="single"/>
                      <w14:ligatures w14:val="standardContextual"/>
                    </w:rPr>
                    <w:t>外径的长度L允许误差±30mm、宽度W 允许误差±50mm、高度H 允许误差0</w:t>
                  </w:r>
                </w:p>
              </w:tc>
            </w:tr>
            <w:tr w14:paraId="36AE9B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706" w:type="dxa"/>
                  <w:vAlign w:val="center"/>
                </w:tcPr>
                <w:p w14:paraId="25487EF4">
                  <w:pPr>
                    <w:widowControl w:val="0"/>
                    <w:wordWrap w:val="0"/>
                    <w:overflowPunct w:val="0"/>
                    <w:autoSpaceDE w:val="0"/>
                    <w:autoSpaceDN w:val="0"/>
                    <w:snapToGrid w:val="0"/>
                    <w:jc w:val="center"/>
                    <w:rPr>
                      <w:color w:val="auto"/>
                      <w:u w:val="single"/>
                      <w14:ligatures w14:val="standardContextual"/>
                    </w:rPr>
                  </w:pPr>
                  <w:r>
                    <w:rPr>
                      <w:rFonts w:hint="eastAsia"/>
                      <w:color w:val="auto"/>
                      <w:u w:val="single"/>
                      <w14:ligatures w14:val="standardContextual"/>
                    </w:rPr>
                    <w:t>2</w:t>
                  </w:r>
                </w:p>
              </w:tc>
              <w:tc>
                <w:tcPr>
                  <w:tcW w:w="2268" w:type="dxa"/>
                  <w:vAlign w:val="center"/>
                </w:tcPr>
                <w:p w14:paraId="693B2CBB">
                  <w:pPr>
                    <w:widowControl w:val="0"/>
                    <w:wordWrap w:val="0"/>
                    <w:overflowPunct w:val="0"/>
                    <w:autoSpaceDE w:val="0"/>
                    <w:autoSpaceDN w:val="0"/>
                    <w:snapToGrid w:val="0"/>
                    <w:jc w:val="center"/>
                    <w:rPr>
                      <w:color w:val="auto"/>
                      <w:u w:val="single"/>
                      <w14:ligatures w14:val="standardContextual"/>
                    </w:rPr>
                  </w:pPr>
                  <w:r>
                    <w:rPr>
                      <w:rFonts w:hint="eastAsia"/>
                      <w:color w:val="auto"/>
                      <w:u w:val="single"/>
                      <w14:ligatures w14:val="standardContextual"/>
                    </w:rPr>
                    <w:t>材料</w:t>
                  </w:r>
                </w:p>
              </w:tc>
              <w:tc>
                <w:tcPr>
                  <w:tcW w:w="2977" w:type="dxa"/>
                  <w:vAlign w:val="center"/>
                </w:tcPr>
                <w:p w14:paraId="1E2FF6D3">
                  <w:pPr>
                    <w:widowControl w:val="0"/>
                    <w:wordWrap w:val="0"/>
                    <w:overflowPunct w:val="0"/>
                    <w:autoSpaceDE w:val="0"/>
                    <w:autoSpaceDN w:val="0"/>
                    <w:snapToGrid w:val="0"/>
                    <w:jc w:val="center"/>
                    <w:rPr>
                      <w:color w:val="auto"/>
                      <w:u w:val="single"/>
                      <w14:ligatures w14:val="standardContextual"/>
                    </w:rPr>
                  </w:pPr>
                  <w:r>
                    <w:rPr>
                      <w:rFonts w:hint="eastAsia"/>
                      <w:color w:val="auto"/>
                      <w:u w:val="single"/>
                      <w14:ligatures w14:val="standardContextual"/>
                    </w:rPr>
                    <w:t>Q235 钢材</w:t>
                  </w:r>
                </w:p>
              </w:tc>
              <w:tc>
                <w:tcPr>
                  <w:tcW w:w="2201" w:type="dxa"/>
                  <w:vAlign w:val="center"/>
                </w:tcPr>
                <w:p w14:paraId="311CBDEB">
                  <w:pPr>
                    <w:widowControl w:val="0"/>
                    <w:wordWrap w:val="0"/>
                    <w:overflowPunct w:val="0"/>
                    <w:autoSpaceDE w:val="0"/>
                    <w:autoSpaceDN w:val="0"/>
                    <w:snapToGrid w:val="0"/>
                    <w:jc w:val="center"/>
                    <w:rPr>
                      <w:color w:val="auto"/>
                      <w:u w:val="single"/>
                      <w14:ligatures w14:val="standardContextual"/>
                    </w:rPr>
                  </w:pPr>
                  <w:r>
                    <w:rPr>
                      <w:rFonts w:hint="eastAsia"/>
                      <w:color w:val="auto"/>
                      <w:u w:val="single"/>
                      <w14:ligatures w14:val="standardContextual"/>
                    </w:rPr>
                    <w:t>/</w:t>
                  </w:r>
                </w:p>
              </w:tc>
            </w:tr>
            <w:tr w14:paraId="0ACA27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706" w:type="dxa"/>
                  <w:vAlign w:val="center"/>
                </w:tcPr>
                <w:p w14:paraId="639E4FAA">
                  <w:pPr>
                    <w:widowControl w:val="0"/>
                    <w:wordWrap w:val="0"/>
                    <w:overflowPunct w:val="0"/>
                    <w:autoSpaceDE w:val="0"/>
                    <w:autoSpaceDN w:val="0"/>
                    <w:snapToGrid w:val="0"/>
                    <w:jc w:val="center"/>
                    <w:rPr>
                      <w:color w:val="auto"/>
                      <w:u w:val="single"/>
                      <w14:ligatures w14:val="standardContextual"/>
                    </w:rPr>
                  </w:pPr>
                  <w:r>
                    <w:rPr>
                      <w:rFonts w:hint="eastAsia"/>
                      <w:color w:val="auto"/>
                      <w:u w:val="single"/>
                      <w14:ligatures w14:val="standardContextual"/>
                    </w:rPr>
                    <w:t>3</w:t>
                  </w:r>
                </w:p>
              </w:tc>
              <w:tc>
                <w:tcPr>
                  <w:tcW w:w="2268" w:type="dxa"/>
                  <w:vAlign w:val="center"/>
                </w:tcPr>
                <w:p w14:paraId="4B63198E">
                  <w:pPr>
                    <w:widowControl w:val="0"/>
                    <w:wordWrap w:val="0"/>
                    <w:overflowPunct w:val="0"/>
                    <w:autoSpaceDE w:val="0"/>
                    <w:autoSpaceDN w:val="0"/>
                    <w:snapToGrid w:val="0"/>
                    <w:jc w:val="center"/>
                    <w:rPr>
                      <w:color w:val="auto"/>
                      <w:u w:val="single"/>
                      <w14:ligatures w14:val="standardContextual"/>
                    </w:rPr>
                  </w:pPr>
                  <w:r>
                    <w:rPr>
                      <w:rFonts w:hint="eastAsia"/>
                      <w:color w:val="auto"/>
                      <w:u w:val="single"/>
                      <w14:ligatures w14:val="standardContextual"/>
                    </w:rPr>
                    <w:t>使用温度</w:t>
                  </w:r>
                </w:p>
              </w:tc>
              <w:tc>
                <w:tcPr>
                  <w:tcW w:w="2977" w:type="dxa"/>
                  <w:vAlign w:val="center"/>
                </w:tcPr>
                <w:p w14:paraId="33D82C89">
                  <w:pPr>
                    <w:widowControl w:val="0"/>
                    <w:wordWrap w:val="0"/>
                    <w:overflowPunct w:val="0"/>
                    <w:autoSpaceDE w:val="0"/>
                    <w:autoSpaceDN w:val="0"/>
                    <w:snapToGrid w:val="0"/>
                    <w:jc w:val="center"/>
                    <w:rPr>
                      <w:color w:val="auto"/>
                      <w:u w:val="single"/>
                      <w14:ligatures w14:val="standardContextual"/>
                    </w:rPr>
                  </w:pPr>
                  <w:r>
                    <w:rPr>
                      <w:rFonts w:hint="eastAsia"/>
                      <w:color w:val="auto"/>
                      <w:u w:val="single"/>
                      <w14:ligatures w14:val="standardContextual"/>
                    </w:rPr>
                    <w:t>-5℃至60℃</w:t>
                  </w:r>
                </w:p>
              </w:tc>
              <w:tc>
                <w:tcPr>
                  <w:tcW w:w="2201" w:type="dxa"/>
                  <w:vAlign w:val="center"/>
                </w:tcPr>
                <w:p w14:paraId="07315658">
                  <w:pPr>
                    <w:widowControl w:val="0"/>
                    <w:wordWrap w:val="0"/>
                    <w:overflowPunct w:val="0"/>
                    <w:autoSpaceDE w:val="0"/>
                    <w:autoSpaceDN w:val="0"/>
                    <w:snapToGrid w:val="0"/>
                    <w:jc w:val="center"/>
                    <w:rPr>
                      <w:color w:val="auto"/>
                      <w:u w:val="single"/>
                      <w14:ligatures w14:val="standardContextual"/>
                    </w:rPr>
                  </w:pPr>
                  <w:r>
                    <w:rPr>
                      <w:rFonts w:hint="eastAsia"/>
                      <w:color w:val="auto"/>
                      <w:u w:val="single"/>
                      <w14:ligatures w14:val="standardContextual"/>
                    </w:rPr>
                    <w:t>/</w:t>
                  </w:r>
                </w:p>
              </w:tc>
            </w:tr>
            <w:tr w14:paraId="4AE31D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706" w:type="dxa"/>
                  <w:vAlign w:val="center"/>
                </w:tcPr>
                <w:p w14:paraId="086918F8">
                  <w:pPr>
                    <w:widowControl w:val="0"/>
                    <w:wordWrap w:val="0"/>
                    <w:overflowPunct w:val="0"/>
                    <w:autoSpaceDE w:val="0"/>
                    <w:autoSpaceDN w:val="0"/>
                    <w:snapToGrid w:val="0"/>
                    <w:jc w:val="center"/>
                    <w:rPr>
                      <w:color w:val="auto"/>
                      <w:u w:val="single"/>
                      <w14:ligatures w14:val="standardContextual"/>
                    </w:rPr>
                  </w:pPr>
                  <w:r>
                    <w:rPr>
                      <w:rFonts w:hint="eastAsia"/>
                      <w:color w:val="auto"/>
                      <w:u w:val="single"/>
                      <w14:ligatures w14:val="standardContextual"/>
                    </w:rPr>
                    <w:t>4</w:t>
                  </w:r>
                </w:p>
              </w:tc>
              <w:tc>
                <w:tcPr>
                  <w:tcW w:w="2268" w:type="dxa"/>
                  <w:vAlign w:val="center"/>
                </w:tcPr>
                <w:p w14:paraId="42EF8BFB">
                  <w:pPr>
                    <w:widowControl w:val="0"/>
                    <w:wordWrap w:val="0"/>
                    <w:overflowPunct w:val="0"/>
                    <w:autoSpaceDE w:val="0"/>
                    <w:autoSpaceDN w:val="0"/>
                    <w:snapToGrid w:val="0"/>
                    <w:jc w:val="center"/>
                    <w:rPr>
                      <w:color w:val="auto"/>
                      <w:u w:val="single"/>
                      <w14:ligatures w14:val="standardContextual"/>
                    </w:rPr>
                  </w:pPr>
                  <w:r>
                    <w:rPr>
                      <w:rFonts w:hint="eastAsia"/>
                      <w:color w:val="auto"/>
                      <w:u w:val="single"/>
                      <w14:ligatures w14:val="standardContextual"/>
                    </w:rPr>
                    <w:t>堆垛载荷</w:t>
                  </w:r>
                </w:p>
              </w:tc>
              <w:tc>
                <w:tcPr>
                  <w:tcW w:w="2977" w:type="dxa"/>
                  <w:vAlign w:val="center"/>
                </w:tcPr>
                <w:p w14:paraId="7AD9E443">
                  <w:pPr>
                    <w:widowControl w:val="0"/>
                    <w:wordWrap w:val="0"/>
                    <w:overflowPunct w:val="0"/>
                    <w:autoSpaceDE w:val="0"/>
                    <w:autoSpaceDN w:val="0"/>
                    <w:snapToGrid w:val="0"/>
                    <w:jc w:val="center"/>
                    <w:rPr>
                      <w:color w:val="auto"/>
                      <w:u w:val="single"/>
                      <w14:ligatures w14:val="standardContextual"/>
                    </w:rPr>
                  </w:pPr>
                  <w:r>
                    <w:rPr>
                      <w:rFonts w:hint="eastAsia"/>
                      <w:color w:val="auto"/>
                      <w:u w:val="single"/>
                      <w14:ligatures w14:val="standardContextual"/>
                    </w:rPr>
                    <w:t>载荷≥1.5T，可堆叠层数＞2 层</w:t>
                  </w:r>
                </w:p>
              </w:tc>
              <w:tc>
                <w:tcPr>
                  <w:tcW w:w="2201" w:type="dxa"/>
                  <w:vAlign w:val="center"/>
                </w:tcPr>
                <w:p w14:paraId="1416D481">
                  <w:pPr>
                    <w:widowControl w:val="0"/>
                    <w:wordWrap w:val="0"/>
                    <w:overflowPunct w:val="0"/>
                    <w:autoSpaceDE w:val="0"/>
                    <w:autoSpaceDN w:val="0"/>
                    <w:snapToGrid w:val="0"/>
                    <w:jc w:val="center"/>
                    <w:rPr>
                      <w:color w:val="auto"/>
                      <w:u w:val="single"/>
                      <w14:ligatures w14:val="standardContextual"/>
                    </w:rPr>
                  </w:pPr>
                  <w:r>
                    <w:rPr>
                      <w:rFonts w:hint="eastAsia"/>
                      <w:color w:val="auto"/>
                      <w:u w:val="single"/>
                      <w14:ligatures w14:val="standardContextual"/>
                    </w:rPr>
                    <w:t>/</w:t>
                  </w:r>
                </w:p>
              </w:tc>
            </w:tr>
            <w:tr w14:paraId="74A062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706" w:type="dxa"/>
                  <w:vAlign w:val="center"/>
                </w:tcPr>
                <w:p w14:paraId="05F25989">
                  <w:pPr>
                    <w:widowControl w:val="0"/>
                    <w:wordWrap w:val="0"/>
                    <w:overflowPunct w:val="0"/>
                    <w:autoSpaceDE w:val="0"/>
                    <w:autoSpaceDN w:val="0"/>
                    <w:snapToGrid w:val="0"/>
                    <w:jc w:val="center"/>
                    <w:rPr>
                      <w:color w:val="auto"/>
                      <w:u w:val="single"/>
                      <w14:ligatures w14:val="standardContextual"/>
                    </w:rPr>
                  </w:pPr>
                  <w:r>
                    <w:rPr>
                      <w:rFonts w:hint="eastAsia"/>
                      <w:color w:val="auto"/>
                      <w:u w:val="single"/>
                      <w14:ligatures w14:val="standardContextual"/>
                    </w:rPr>
                    <w:t>5</w:t>
                  </w:r>
                </w:p>
              </w:tc>
              <w:tc>
                <w:tcPr>
                  <w:tcW w:w="2268" w:type="dxa"/>
                  <w:vAlign w:val="center"/>
                </w:tcPr>
                <w:p w14:paraId="3D619B09">
                  <w:pPr>
                    <w:widowControl w:val="0"/>
                    <w:wordWrap w:val="0"/>
                    <w:overflowPunct w:val="0"/>
                    <w:autoSpaceDE w:val="0"/>
                    <w:autoSpaceDN w:val="0"/>
                    <w:snapToGrid w:val="0"/>
                    <w:jc w:val="center"/>
                    <w:rPr>
                      <w:color w:val="auto"/>
                      <w:u w:val="single"/>
                      <w14:ligatures w14:val="standardContextual"/>
                    </w:rPr>
                  </w:pPr>
                  <w:r>
                    <w:rPr>
                      <w:rFonts w:hint="eastAsia"/>
                      <w:color w:val="auto"/>
                      <w:u w:val="single"/>
                      <w14:ligatures w14:val="standardContextual"/>
                    </w:rPr>
                    <w:t>堆垛架相关要求</w:t>
                  </w:r>
                </w:p>
              </w:tc>
              <w:tc>
                <w:tcPr>
                  <w:tcW w:w="2977" w:type="dxa"/>
                  <w:vAlign w:val="center"/>
                </w:tcPr>
                <w:p w14:paraId="64857FEF">
                  <w:pPr>
                    <w:widowControl w:val="0"/>
                    <w:wordWrap w:val="0"/>
                    <w:overflowPunct w:val="0"/>
                    <w:autoSpaceDE w:val="0"/>
                    <w:autoSpaceDN w:val="0"/>
                    <w:snapToGrid w:val="0"/>
                    <w:jc w:val="center"/>
                    <w:rPr>
                      <w:color w:val="auto"/>
                      <w:u w:val="single"/>
                      <w14:ligatures w14:val="standardContextual"/>
                    </w:rPr>
                  </w:pPr>
                  <w:r>
                    <w:rPr>
                      <w:rFonts w:hint="eastAsia"/>
                      <w:color w:val="auto"/>
                      <w:u w:val="single"/>
                      <w14:ligatures w14:val="standardContextual"/>
                    </w:rPr>
                    <w:t>底框采用40mm*40mm*2.0mm 的镀锌方管；主立柱采用50mm*50mm*2.0mm 的镀锌方管；顶部角钢架采用厚度3.5mm 钢板</w:t>
                  </w:r>
                </w:p>
              </w:tc>
              <w:tc>
                <w:tcPr>
                  <w:tcW w:w="2201" w:type="dxa"/>
                  <w:vAlign w:val="center"/>
                </w:tcPr>
                <w:p w14:paraId="7089E197">
                  <w:pPr>
                    <w:widowControl w:val="0"/>
                    <w:wordWrap w:val="0"/>
                    <w:overflowPunct w:val="0"/>
                    <w:autoSpaceDE w:val="0"/>
                    <w:autoSpaceDN w:val="0"/>
                    <w:snapToGrid w:val="0"/>
                    <w:jc w:val="center"/>
                    <w:rPr>
                      <w:color w:val="auto"/>
                      <w:u w:val="single"/>
                      <w14:ligatures w14:val="standardContextual"/>
                    </w:rPr>
                  </w:pPr>
                  <w:r>
                    <w:rPr>
                      <w:rFonts w:hint="eastAsia"/>
                      <w:color w:val="auto"/>
                      <w:u w:val="single"/>
                      <w14:ligatures w14:val="standardContextual"/>
                    </w:rPr>
                    <w:t>静载无明显形变，堆垛重载立柱无明显形变，晃动较小，导轨角铁充分贴合。</w:t>
                  </w:r>
                </w:p>
              </w:tc>
            </w:tr>
            <w:tr w14:paraId="589037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706" w:type="dxa"/>
                  <w:vAlign w:val="center"/>
                </w:tcPr>
                <w:p w14:paraId="47DD9044">
                  <w:pPr>
                    <w:widowControl w:val="0"/>
                    <w:wordWrap w:val="0"/>
                    <w:overflowPunct w:val="0"/>
                    <w:autoSpaceDE w:val="0"/>
                    <w:autoSpaceDN w:val="0"/>
                    <w:snapToGrid w:val="0"/>
                    <w:jc w:val="center"/>
                    <w:rPr>
                      <w:color w:val="auto"/>
                      <w:u w:val="single"/>
                      <w14:ligatures w14:val="standardContextual"/>
                    </w:rPr>
                  </w:pPr>
                  <w:r>
                    <w:rPr>
                      <w:rFonts w:hint="eastAsia"/>
                      <w:color w:val="auto"/>
                      <w:u w:val="single"/>
                      <w14:ligatures w14:val="standardContextual"/>
                    </w:rPr>
                    <w:t>6</w:t>
                  </w:r>
                </w:p>
              </w:tc>
              <w:tc>
                <w:tcPr>
                  <w:tcW w:w="2268" w:type="dxa"/>
                  <w:vAlign w:val="center"/>
                </w:tcPr>
                <w:p w14:paraId="19F465EF">
                  <w:pPr>
                    <w:widowControl w:val="0"/>
                    <w:wordWrap w:val="0"/>
                    <w:overflowPunct w:val="0"/>
                    <w:autoSpaceDE w:val="0"/>
                    <w:autoSpaceDN w:val="0"/>
                    <w:snapToGrid w:val="0"/>
                    <w:jc w:val="center"/>
                    <w:rPr>
                      <w:color w:val="auto"/>
                      <w:u w:val="single"/>
                      <w14:ligatures w14:val="standardContextual"/>
                    </w:rPr>
                  </w:pPr>
                  <w:r>
                    <w:rPr>
                      <w:rFonts w:hint="eastAsia"/>
                      <w:color w:val="auto"/>
                      <w:u w:val="single"/>
                      <w14:ligatures w14:val="standardContextual"/>
                    </w:rPr>
                    <w:t>焊接要求</w:t>
                  </w:r>
                </w:p>
              </w:tc>
              <w:tc>
                <w:tcPr>
                  <w:tcW w:w="2977" w:type="dxa"/>
                  <w:vAlign w:val="center"/>
                </w:tcPr>
                <w:p w14:paraId="4FF74482">
                  <w:pPr>
                    <w:widowControl w:val="0"/>
                    <w:wordWrap w:val="0"/>
                    <w:overflowPunct w:val="0"/>
                    <w:autoSpaceDE w:val="0"/>
                    <w:autoSpaceDN w:val="0"/>
                    <w:snapToGrid w:val="0"/>
                    <w:jc w:val="center"/>
                    <w:rPr>
                      <w:color w:val="auto"/>
                      <w:u w:val="single"/>
                      <w14:ligatures w14:val="standardContextual"/>
                    </w:rPr>
                  </w:pPr>
                  <w:r>
                    <w:rPr>
                      <w:rFonts w:hint="eastAsia"/>
                      <w:color w:val="auto"/>
                      <w:u w:val="single"/>
                      <w14:ligatures w14:val="standardContextual"/>
                    </w:rPr>
                    <w:t>所有焊接处均需满焊，确保堆垛架质量</w:t>
                  </w:r>
                </w:p>
              </w:tc>
              <w:tc>
                <w:tcPr>
                  <w:tcW w:w="2201" w:type="dxa"/>
                  <w:vAlign w:val="center"/>
                </w:tcPr>
                <w:p w14:paraId="5C0C2264">
                  <w:pPr>
                    <w:widowControl w:val="0"/>
                    <w:wordWrap w:val="0"/>
                    <w:overflowPunct w:val="0"/>
                    <w:autoSpaceDE w:val="0"/>
                    <w:autoSpaceDN w:val="0"/>
                    <w:snapToGrid w:val="0"/>
                    <w:jc w:val="center"/>
                    <w:rPr>
                      <w:color w:val="auto"/>
                      <w:u w:val="single"/>
                      <w14:ligatures w14:val="standardContextual"/>
                    </w:rPr>
                  </w:pPr>
                  <w:r>
                    <w:rPr>
                      <w:rFonts w:hint="eastAsia"/>
                      <w:color w:val="auto"/>
                      <w:u w:val="single"/>
                      <w14:ligatures w14:val="standardContextual"/>
                    </w:rPr>
                    <w:t>/</w:t>
                  </w:r>
                </w:p>
              </w:tc>
            </w:tr>
          </w:tbl>
          <w:p w14:paraId="558D0487">
            <w:pPr>
              <w:pStyle w:val="3"/>
              <w:ind w:firstLine="480"/>
            </w:pPr>
            <w:r>
              <w:rPr>
                <w:rFonts w:hint="eastAsia"/>
              </w:rPr>
              <w:t>5、场地硬化</w:t>
            </w:r>
          </w:p>
          <w:p w14:paraId="425107EB">
            <w:pPr>
              <w:pStyle w:val="3"/>
              <w:ind w:firstLine="480"/>
            </w:pPr>
            <w:r>
              <w:rPr>
                <w:rFonts w:hint="eastAsia"/>
              </w:rPr>
              <w:t>路基设计：压实度采用重型击实标准，路基填方要求分层压实，松铺厚度不得大于30厘米。</w:t>
            </w:r>
          </w:p>
          <w:p w14:paraId="54421FD2">
            <w:pPr>
              <w:pStyle w:val="3"/>
              <w:ind w:firstLine="480"/>
              <w:rPr>
                <w:color w:val="auto"/>
                <w:u w:val="single"/>
              </w:rPr>
            </w:pPr>
            <w:r>
              <w:rPr>
                <w:rFonts w:hint="eastAsia"/>
                <w:color w:val="auto"/>
                <w:u w:val="single"/>
              </w:rPr>
              <w:t>路面设计：路面设计根据交通量及其组成情况和道路等级、使用功能、当地材料、气候、水文、土质等自然条件，结合本地区的实践经验，遵循因地制宜、合理选材、方便施工、利于养护的原则进行设计。</w:t>
            </w:r>
          </w:p>
          <w:p w14:paraId="0DCA2E87">
            <w:pPr>
              <w:pStyle w:val="49"/>
              <w:rPr>
                <w:color w:val="auto"/>
                <w:u w:val="single"/>
              </w:rPr>
            </w:pPr>
            <w:r>
              <w:rPr>
                <w:rFonts w:hint="eastAsia"/>
                <w:color w:val="auto"/>
                <w:u w:val="single"/>
              </w:rPr>
              <w:t xml:space="preserve">表2- </w:t>
            </w:r>
            <w:r>
              <w:rPr>
                <w:color w:val="auto"/>
                <w:u w:val="single"/>
              </w:rPr>
              <w:fldChar w:fldCharType="begin"/>
            </w:r>
            <w:r>
              <w:rPr>
                <w:color w:val="auto"/>
                <w:u w:val="single"/>
              </w:rPr>
              <w:instrText xml:space="preserve"> </w:instrText>
            </w:r>
            <w:r>
              <w:rPr>
                <w:rFonts w:hint="eastAsia"/>
                <w:color w:val="auto"/>
                <w:u w:val="single"/>
              </w:rPr>
              <w:instrText xml:space="preserve">SEQ 表2- \* ARABIC</w:instrText>
            </w:r>
            <w:r>
              <w:rPr>
                <w:color w:val="auto"/>
                <w:u w:val="single"/>
              </w:rPr>
              <w:instrText xml:space="preserve"> </w:instrText>
            </w:r>
            <w:r>
              <w:rPr>
                <w:color w:val="auto"/>
                <w:u w:val="single"/>
              </w:rPr>
              <w:fldChar w:fldCharType="separate"/>
            </w:r>
            <w:r>
              <w:rPr>
                <w:color w:val="auto"/>
                <w:u w:val="single"/>
              </w:rPr>
              <w:t>8</w:t>
            </w:r>
            <w:r>
              <w:rPr>
                <w:color w:val="auto"/>
                <w:u w:val="single"/>
              </w:rPr>
              <w:fldChar w:fldCharType="end"/>
            </w:r>
            <w:r>
              <w:rPr>
                <w:rFonts w:hint="eastAsia"/>
                <w:color w:val="auto"/>
                <w:u w:val="single"/>
              </w:rPr>
              <w:t>：路面结构组合设计</w:t>
            </w:r>
          </w:p>
          <w:tbl>
            <w:tblPr>
              <w:tblStyle w:val="5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6006"/>
              <w:gridCol w:w="2371"/>
            </w:tblGrid>
            <w:tr w14:paraId="4CD7A3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585" w:type="pct"/>
                  <w:tcBorders>
                    <w:top w:val="single" w:color="auto" w:sz="12" w:space="0"/>
                    <w:left w:val="nil"/>
                    <w:bottom w:val="single" w:color="auto" w:sz="12" w:space="0"/>
                    <w:right w:val="single" w:color="auto" w:sz="4" w:space="0"/>
                    <w:insideH w:val="single" w:sz="12" w:space="0"/>
                    <w:insideV w:val="single" w:sz="4" w:space="0"/>
                    <w:tl2br w:val="nil"/>
                    <w:tr2bl w:val="nil"/>
                  </w:tcBorders>
                  <w:vAlign w:val="center"/>
                </w:tcPr>
                <w:p w14:paraId="2EFB71FB">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sz w:val="21"/>
                      <w:szCs w:val="21"/>
                      <w:u w:val="single"/>
                      <w14:ligatures w14:val="standardContextual"/>
                    </w:rPr>
                  </w:pPr>
                  <w:r>
                    <w:rPr>
                      <w:rFonts w:hint="default" w:ascii="Times New Roman" w:hAnsi="Times New Roman" w:eastAsia="宋体" w:cs="Times New Roman"/>
                      <w:b/>
                      <w:i w:val="0"/>
                      <w:color w:val="auto"/>
                      <w:sz w:val="21"/>
                      <w:szCs w:val="21"/>
                      <w:u w:val="single"/>
                      <w14:ligatures w14:val="standardContextual"/>
                    </w:rPr>
                    <w:t>结构层</w:t>
                  </w:r>
                </w:p>
              </w:tc>
              <w:tc>
                <w:tcPr>
                  <w:tcW w:w="1415" w:type="pct"/>
                  <w:tcBorders>
                    <w:top w:val="single" w:color="auto" w:sz="12" w:space="0"/>
                    <w:bottom w:val="single" w:color="auto" w:sz="12" w:space="0"/>
                    <w:right w:val="nil"/>
                    <w:insideH w:val="single" w:sz="12" w:space="0"/>
                    <w:insideV w:val="single" w:sz="4" w:space="0"/>
                    <w:tl2br w:val="nil"/>
                    <w:tr2bl w:val="nil"/>
                  </w:tcBorders>
                  <w:vAlign w:val="center"/>
                </w:tcPr>
                <w:p w14:paraId="7F50764F">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sz w:val="21"/>
                      <w:szCs w:val="21"/>
                      <w:u w:val="single"/>
                      <w14:ligatures w14:val="standardContextual"/>
                    </w:rPr>
                  </w:pPr>
                  <w:r>
                    <w:rPr>
                      <w:rFonts w:hint="default" w:ascii="Times New Roman" w:hAnsi="Times New Roman" w:eastAsia="宋体" w:cs="Times New Roman"/>
                      <w:b/>
                      <w:i w:val="0"/>
                      <w:color w:val="auto"/>
                      <w:sz w:val="21"/>
                      <w:szCs w:val="21"/>
                      <w:u w:val="single"/>
                      <w14:ligatures w14:val="standardContextual"/>
                    </w:rPr>
                    <w:t>厚度（cm）</w:t>
                  </w:r>
                </w:p>
              </w:tc>
            </w:tr>
            <w:tr w14:paraId="3B3AF6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585" w:type="pct"/>
                  <w:vAlign w:val="center"/>
                </w:tcPr>
                <w:p w14:paraId="07A8F1AC">
                  <w:pPr>
                    <w:widowControl w:val="0"/>
                    <w:overflowPunct w:val="0"/>
                    <w:autoSpaceDE w:val="0"/>
                    <w:autoSpaceDN w:val="0"/>
                    <w:snapToGrid w:val="0"/>
                    <w:jc w:val="center"/>
                    <w:rPr>
                      <w:color w:val="auto"/>
                      <w:u w:val="single"/>
                      <w14:ligatures w14:val="standardContextual"/>
                    </w:rPr>
                  </w:pPr>
                  <w:bookmarkStart w:id="119" w:name="OLE_LINK77"/>
                  <w:r>
                    <w:rPr>
                      <w:color w:val="auto"/>
                      <w:u w:val="single"/>
                      <w14:ligatures w14:val="standardContextual"/>
                    </w:rPr>
                    <w:t>水泥混凝土面层</w:t>
                  </w:r>
                  <w:bookmarkEnd w:id="119"/>
                  <w:r>
                    <w:rPr>
                      <w:color w:val="auto"/>
                      <w:u w:val="single"/>
                      <w14:ligatures w14:val="standardContextual"/>
                    </w:rPr>
                    <w:t>（fcm≥5.0MPa）</w:t>
                  </w:r>
                </w:p>
              </w:tc>
              <w:tc>
                <w:tcPr>
                  <w:tcW w:w="1415" w:type="pct"/>
                  <w:vAlign w:val="center"/>
                </w:tcPr>
                <w:p w14:paraId="774C0A7B">
                  <w:pPr>
                    <w:widowControl w:val="0"/>
                    <w:overflowPunct w:val="0"/>
                    <w:autoSpaceDE w:val="0"/>
                    <w:autoSpaceDN w:val="0"/>
                    <w:snapToGrid w:val="0"/>
                    <w:jc w:val="center"/>
                    <w:rPr>
                      <w:color w:val="auto"/>
                      <w:u w:val="single"/>
                      <w14:ligatures w14:val="standardContextual"/>
                    </w:rPr>
                  </w:pPr>
                  <w:bookmarkStart w:id="120" w:name="OLE_LINK79"/>
                  <w:r>
                    <w:rPr>
                      <w:color w:val="auto"/>
                      <w:u w:val="single"/>
                      <w14:ligatures w14:val="standardContextual"/>
                    </w:rPr>
                    <w:t>26</w:t>
                  </w:r>
                  <w:bookmarkEnd w:id="120"/>
                </w:p>
              </w:tc>
            </w:tr>
            <w:tr w14:paraId="78E015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585" w:type="pct"/>
                  <w:vAlign w:val="center"/>
                </w:tcPr>
                <w:p w14:paraId="2321A7A1">
                  <w:pPr>
                    <w:widowControl w:val="0"/>
                    <w:overflowPunct w:val="0"/>
                    <w:autoSpaceDE w:val="0"/>
                    <w:autoSpaceDN w:val="0"/>
                    <w:snapToGrid w:val="0"/>
                    <w:jc w:val="center"/>
                    <w:rPr>
                      <w:color w:val="auto"/>
                      <w:u w:val="single"/>
                      <w14:ligatures w14:val="standardContextual"/>
                    </w:rPr>
                  </w:pPr>
                  <w:r>
                    <w:rPr>
                      <w:color w:val="auto"/>
                      <w:u w:val="single"/>
                      <w14:ligatures w14:val="standardContextual"/>
                    </w:rPr>
                    <w:t>5% 水泥稳定碎石基层</w:t>
                  </w:r>
                </w:p>
              </w:tc>
              <w:tc>
                <w:tcPr>
                  <w:tcW w:w="1415" w:type="pct"/>
                  <w:vAlign w:val="center"/>
                </w:tcPr>
                <w:p w14:paraId="5D2894C4">
                  <w:pPr>
                    <w:widowControl w:val="0"/>
                    <w:overflowPunct w:val="0"/>
                    <w:autoSpaceDE w:val="0"/>
                    <w:autoSpaceDN w:val="0"/>
                    <w:snapToGrid w:val="0"/>
                    <w:jc w:val="center"/>
                    <w:rPr>
                      <w:color w:val="auto"/>
                      <w:u w:val="single"/>
                      <w14:ligatures w14:val="standardContextual"/>
                    </w:rPr>
                  </w:pPr>
                  <w:r>
                    <w:rPr>
                      <w:color w:val="auto"/>
                      <w:u w:val="single"/>
                      <w14:ligatures w14:val="standardContextual"/>
                    </w:rPr>
                    <w:t>20</w:t>
                  </w:r>
                </w:p>
              </w:tc>
            </w:tr>
            <w:tr w14:paraId="04AE27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585" w:type="pct"/>
                  <w:vAlign w:val="center"/>
                </w:tcPr>
                <w:p w14:paraId="47AFF5FE">
                  <w:pPr>
                    <w:widowControl w:val="0"/>
                    <w:overflowPunct w:val="0"/>
                    <w:autoSpaceDE w:val="0"/>
                    <w:autoSpaceDN w:val="0"/>
                    <w:snapToGrid w:val="0"/>
                    <w:jc w:val="center"/>
                    <w:rPr>
                      <w:color w:val="auto"/>
                      <w:u w:val="single"/>
                      <w14:ligatures w14:val="standardContextual"/>
                    </w:rPr>
                  </w:pPr>
                  <w:r>
                    <w:rPr>
                      <w:color w:val="auto"/>
                      <w:u w:val="single"/>
                      <w14:ligatures w14:val="standardContextual"/>
                    </w:rPr>
                    <w:t>级配碎石垫层</w:t>
                  </w:r>
                </w:p>
              </w:tc>
              <w:tc>
                <w:tcPr>
                  <w:tcW w:w="1415" w:type="pct"/>
                  <w:vAlign w:val="center"/>
                </w:tcPr>
                <w:p w14:paraId="447CD96E">
                  <w:pPr>
                    <w:widowControl w:val="0"/>
                    <w:overflowPunct w:val="0"/>
                    <w:autoSpaceDE w:val="0"/>
                    <w:autoSpaceDN w:val="0"/>
                    <w:snapToGrid w:val="0"/>
                    <w:jc w:val="center"/>
                    <w:rPr>
                      <w:color w:val="auto"/>
                      <w:u w:val="single"/>
                      <w14:ligatures w14:val="standardContextual"/>
                    </w:rPr>
                  </w:pPr>
                  <w:r>
                    <w:rPr>
                      <w:color w:val="auto"/>
                      <w:u w:val="single"/>
                      <w14:ligatures w14:val="standardContextual"/>
                    </w:rPr>
                    <w:t>20</w:t>
                  </w:r>
                </w:p>
              </w:tc>
            </w:tr>
            <w:tr w14:paraId="5AC261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585" w:type="pct"/>
                  <w:vAlign w:val="center"/>
                </w:tcPr>
                <w:p w14:paraId="2836F173">
                  <w:pPr>
                    <w:widowControl w:val="0"/>
                    <w:overflowPunct w:val="0"/>
                    <w:autoSpaceDE w:val="0"/>
                    <w:autoSpaceDN w:val="0"/>
                    <w:snapToGrid w:val="0"/>
                    <w:jc w:val="center"/>
                    <w:rPr>
                      <w:color w:val="auto"/>
                      <w:u w:val="single"/>
                      <w14:ligatures w14:val="standardContextual"/>
                    </w:rPr>
                  </w:pPr>
                  <w:r>
                    <w:rPr>
                      <w:color w:val="auto"/>
                      <w:u w:val="single"/>
                      <w14:ligatures w14:val="standardContextual"/>
                    </w:rPr>
                    <w:t>合 计</w:t>
                  </w:r>
                </w:p>
              </w:tc>
              <w:tc>
                <w:tcPr>
                  <w:tcW w:w="1415" w:type="pct"/>
                  <w:vAlign w:val="center"/>
                </w:tcPr>
                <w:p w14:paraId="5ED98B50">
                  <w:pPr>
                    <w:widowControl w:val="0"/>
                    <w:overflowPunct w:val="0"/>
                    <w:autoSpaceDE w:val="0"/>
                    <w:autoSpaceDN w:val="0"/>
                    <w:snapToGrid w:val="0"/>
                    <w:jc w:val="center"/>
                    <w:rPr>
                      <w:color w:val="auto"/>
                      <w:u w:val="single"/>
                      <w14:ligatures w14:val="standardContextual"/>
                    </w:rPr>
                  </w:pPr>
                  <w:r>
                    <w:rPr>
                      <w:color w:val="auto"/>
                      <w:u w:val="single"/>
                      <w14:ligatures w14:val="standardContextual"/>
                    </w:rPr>
                    <w:t>67</w:t>
                  </w:r>
                </w:p>
              </w:tc>
            </w:tr>
          </w:tbl>
          <w:p w14:paraId="5F5A10DF">
            <w:pPr>
              <w:pStyle w:val="3"/>
              <w:ind w:firstLine="480"/>
            </w:pPr>
            <w:r>
              <w:rPr>
                <w:rFonts w:hint="eastAsia"/>
                <w:color w:val="auto"/>
                <w:u w:val="single"/>
              </w:rPr>
              <w:t>本项目水泥混凝土用量大约为25000吨。</w:t>
            </w:r>
          </w:p>
          <w:p w14:paraId="4C540D82">
            <w:pPr>
              <w:pStyle w:val="3"/>
              <w:ind w:firstLine="480"/>
            </w:pPr>
            <w:r>
              <w:rPr>
                <w:rFonts w:hint="eastAsia"/>
              </w:rPr>
              <w:t>6、桥式起重机</w:t>
            </w:r>
          </w:p>
          <w:p w14:paraId="429DBFCE">
            <w:pPr>
              <w:pStyle w:val="3"/>
              <w:ind w:firstLine="480"/>
              <w:rPr>
                <w:color w:val="auto"/>
                <w:u w:val="single"/>
              </w:rPr>
            </w:pPr>
            <w:r>
              <w:rPr>
                <w:rFonts w:hint="eastAsia"/>
              </w:rPr>
              <w:t>拟对马来西亚中小企业集聚区标准厂房及配套设施建设项目6#标准厂房配置2台桥式起重机一台10T+10T，一台5T+5T；对马来西亚中小企业集聚区标准厂房及配套设施建设项目12#标准厂房配置4台桥式起重机（5T+5T）。上共计6台桥式起重机</w:t>
            </w:r>
            <w:r>
              <w:rPr>
                <w:rFonts w:hint="eastAsia"/>
                <w:color w:val="FF0000"/>
              </w:rPr>
              <w:t>，</w:t>
            </w:r>
            <w:r>
              <w:rPr>
                <w:rFonts w:hint="eastAsia"/>
                <w:color w:val="auto"/>
                <w:u w:val="single"/>
              </w:rPr>
              <w:t>具体建设内容如下：</w:t>
            </w:r>
          </w:p>
          <w:p w14:paraId="0AB8CC15">
            <w:pPr>
              <w:pStyle w:val="3"/>
              <w:ind w:firstLine="480"/>
              <w:rPr>
                <w:color w:val="auto"/>
                <w:u w:val="single"/>
              </w:rPr>
            </w:pPr>
            <w:r>
              <w:rPr>
                <w:rFonts w:hint="eastAsia"/>
                <w:color w:val="auto"/>
                <w:u w:val="single"/>
              </w:rPr>
              <w:t>（一）（一期）6#标准厂房</w:t>
            </w:r>
          </w:p>
          <w:p w14:paraId="6297673E">
            <w:pPr>
              <w:pStyle w:val="3"/>
              <w:ind w:firstLine="480"/>
              <w:rPr>
                <w:color w:val="auto"/>
                <w:u w:val="single"/>
              </w:rPr>
            </w:pPr>
            <w:r>
              <w:rPr>
                <w:rFonts w:hint="eastAsia"/>
                <w:color w:val="auto"/>
                <w:u w:val="single"/>
              </w:rPr>
              <w:t>该厂房是重型厂房，首层高9米，其他层高4.5米，二层以上荷载500公斤/平方米。东侧1624.82平米已出租（入驻企业自行配置了两台2吨的桥式起重机），西侧的1624.82平米目前闲置。拟对该闲置区域配置桥式起重机。</w:t>
            </w:r>
          </w:p>
          <w:p w14:paraId="27AF06A0">
            <w:pPr>
              <w:pStyle w:val="3"/>
              <w:ind w:firstLine="480"/>
              <w:rPr>
                <w:color w:val="auto"/>
                <w:u w:val="single"/>
              </w:rPr>
            </w:pPr>
            <w:r>
              <w:rPr>
                <w:rFonts w:hint="eastAsia"/>
                <w:color w:val="auto"/>
                <w:u w:val="single"/>
              </w:rPr>
              <w:t>（二）（二期）12#标准厂房</w:t>
            </w:r>
          </w:p>
          <w:p w14:paraId="2DA10F64">
            <w:pPr>
              <w:pStyle w:val="3"/>
              <w:ind w:firstLine="480"/>
              <w:rPr>
                <w:color w:val="auto"/>
                <w:u w:val="single"/>
              </w:rPr>
            </w:pPr>
            <w:r>
              <w:rPr>
                <w:rFonts w:hint="eastAsia"/>
                <w:color w:val="auto"/>
                <w:u w:val="single"/>
              </w:rPr>
              <w:t>该厂房为高标仓，目前闲置。厂房建筑面积15855.42 平米，层高</w:t>
            </w:r>
            <w:r>
              <w:rPr>
                <w:color w:val="auto"/>
                <w:u w:val="single"/>
              </w:rPr>
              <w:t>13.94</w:t>
            </w:r>
            <w:r>
              <w:rPr>
                <w:rFonts w:hint="eastAsia"/>
                <w:color w:val="auto"/>
                <w:u w:val="single"/>
              </w:rPr>
              <w:t>米，承重</w:t>
            </w:r>
            <w:r>
              <w:rPr>
                <w:color w:val="auto"/>
                <w:u w:val="single"/>
              </w:rPr>
              <w:t>3.5</w:t>
            </w:r>
            <w:r>
              <w:rPr>
                <w:rFonts w:hint="eastAsia"/>
                <w:color w:val="auto"/>
                <w:u w:val="single"/>
              </w:rPr>
              <w:t>吨</w:t>
            </w:r>
            <w:r>
              <w:rPr>
                <w:color w:val="auto"/>
                <w:u w:val="single"/>
              </w:rPr>
              <w:t>/</w:t>
            </w:r>
            <w:r>
              <w:rPr>
                <w:rFonts w:hint="eastAsia"/>
                <w:color w:val="auto"/>
                <w:u w:val="single"/>
              </w:rPr>
              <w:t>平方米。尚未配置桥式起重机拟对其中的</w:t>
            </w:r>
            <w:r>
              <w:rPr>
                <w:color w:val="auto"/>
                <w:u w:val="single"/>
              </w:rPr>
              <w:t>⅓</w:t>
            </w:r>
            <w:r>
              <w:rPr>
                <w:rFonts w:hint="eastAsia"/>
                <w:color w:val="auto"/>
                <w:u w:val="single"/>
              </w:rPr>
              <w:t>区域（约5000平米）配置桥式起重机。</w:t>
            </w:r>
          </w:p>
          <w:p w14:paraId="0A4E071E">
            <w:pPr>
              <w:pStyle w:val="51"/>
              <w:rPr>
                <w:color w:val="FF0000"/>
              </w:rPr>
            </w:pPr>
            <w:r>
              <w:drawing>
                <wp:inline distT="0" distB="0" distL="0" distR="0">
                  <wp:extent cx="3599815" cy="2317750"/>
                  <wp:effectExtent l="0" t="0" r="635" b="6350"/>
                  <wp:docPr id="1586043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04396" name="图片 1"/>
                          <pic:cNvPicPr>
                            <a:picLocks noChangeAspect="1"/>
                          </pic:cNvPicPr>
                        </pic:nvPicPr>
                        <pic:blipFill>
                          <a:blip r:embed="rId17"/>
                          <a:stretch>
                            <a:fillRect/>
                          </a:stretch>
                        </pic:blipFill>
                        <pic:spPr>
                          <a:xfrm>
                            <a:off x="0" y="0"/>
                            <a:ext cx="3600000" cy="2317775"/>
                          </a:xfrm>
                          <a:prstGeom prst="rect">
                            <a:avLst/>
                          </a:prstGeom>
                        </pic:spPr>
                      </pic:pic>
                    </a:graphicData>
                  </a:graphic>
                </wp:inline>
              </w:drawing>
            </w:r>
          </w:p>
          <w:p w14:paraId="6CF03E15">
            <w:pPr>
              <w:pStyle w:val="49"/>
              <w:rPr>
                <w:color w:val="auto"/>
                <w:u w:val="single"/>
              </w:rPr>
            </w:pPr>
            <w:r>
              <w:rPr>
                <w:rFonts w:hint="eastAsia"/>
                <w:color w:val="auto"/>
                <w:u w:val="single"/>
              </w:rPr>
              <w:t xml:space="preserve">图2- </w:t>
            </w:r>
            <w:r>
              <w:rPr>
                <w:color w:val="auto"/>
                <w:u w:val="single"/>
              </w:rPr>
              <w:fldChar w:fldCharType="begin"/>
            </w:r>
            <w:r>
              <w:rPr>
                <w:color w:val="auto"/>
                <w:u w:val="single"/>
              </w:rPr>
              <w:instrText xml:space="preserve"> </w:instrText>
            </w:r>
            <w:r>
              <w:rPr>
                <w:rFonts w:hint="eastAsia"/>
                <w:color w:val="auto"/>
                <w:u w:val="single"/>
              </w:rPr>
              <w:instrText xml:space="preserve">SEQ 图2- \* ARABIC</w:instrText>
            </w:r>
            <w:r>
              <w:rPr>
                <w:color w:val="auto"/>
                <w:u w:val="single"/>
              </w:rPr>
              <w:instrText xml:space="preserve"> </w:instrText>
            </w:r>
            <w:r>
              <w:rPr>
                <w:color w:val="auto"/>
                <w:u w:val="single"/>
              </w:rPr>
              <w:fldChar w:fldCharType="separate"/>
            </w:r>
            <w:r>
              <w:rPr>
                <w:color w:val="auto"/>
                <w:u w:val="single"/>
              </w:rPr>
              <w:t>5</w:t>
            </w:r>
            <w:r>
              <w:rPr>
                <w:color w:val="auto"/>
                <w:u w:val="single"/>
              </w:rPr>
              <w:fldChar w:fldCharType="end"/>
            </w:r>
            <w:r>
              <w:rPr>
                <w:rFonts w:hint="eastAsia"/>
                <w:color w:val="auto"/>
                <w:u w:val="single"/>
              </w:rPr>
              <w:t>：施工期工艺流程及产污节点图</w:t>
            </w:r>
          </w:p>
          <w:p w14:paraId="3D07D193">
            <w:pPr>
              <w:pStyle w:val="3"/>
              <w:ind w:firstLine="480"/>
            </w:pPr>
          </w:p>
          <w:p w14:paraId="484CD297">
            <w:pPr>
              <w:pStyle w:val="7"/>
            </w:pPr>
            <w:r>
              <w:rPr>
                <w:rFonts w:hint="eastAsia"/>
              </w:rPr>
              <w:t>二、运营期工艺流程</w:t>
            </w:r>
          </w:p>
          <w:p w14:paraId="7EB59E84">
            <w:pPr>
              <w:pStyle w:val="3"/>
              <w:ind w:firstLine="480"/>
            </w:pPr>
            <w:r>
              <w:rPr>
                <w:rFonts w:hint="eastAsia"/>
              </w:rPr>
              <w:t>1、软化水系统</w:t>
            </w:r>
          </w:p>
          <w:p w14:paraId="0F0117E3">
            <w:pPr>
              <w:pStyle w:val="3"/>
              <w:ind w:firstLine="480"/>
            </w:pPr>
            <w:r>
              <w:rPr>
                <w:rFonts w:hint="eastAsia"/>
              </w:rPr>
              <w:t>本工程设2套32t/h软水处理设备（1用1备）制备锅炉软化水即可满足连续运行要求。</w:t>
            </w:r>
          </w:p>
          <w:p w14:paraId="37FE14AA">
            <w:pPr>
              <w:pStyle w:val="3"/>
              <w:ind w:firstLine="480"/>
            </w:pPr>
            <w:r>
              <w:rPr>
                <w:rFonts w:hint="eastAsia"/>
              </w:rPr>
              <w:t>软水处理设备由钠离子交换器、盐箱、喷射器、阀门、管道等组成。</w:t>
            </w:r>
          </w:p>
          <w:p w14:paraId="177415F1">
            <w:pPr>
              <w:pStyle w:val="3"/>
              <w:ind w:firstLine="480"/>
            </w:pPr>
            <w:r>
              <w:rPr>
                <w:rFonts w:hint="eastAsia"/>
              </w:rPr>
              <w:t>软水（交换）采用</w:t>
            </w:r>
            <w:bookmarkStart w:id="121" w:name="OLE_LINK307"/>
            <w:r>
              <w:rPr>
                <w:rFonts w:hint="eastAsia"/>
                <w:b/>
                <w:bCs/>
              </w:rPr>
              <w:t>离子交换</w:t>
            </w:r>
            <w:bookmarkEnd w:id="121"/>
            <w:r>
              <w:rPr>
                <w:rFonts w:hint="eastAsia"/>
              </w:rPr>
              <w:t>的原理除去水中的硬度，在交换塔内当离子交换树脂与原水相遇时，水中的钙（Ca</w:t>
            </w:r>
            <w:r>
              <w:rPr>
                <w:rFonts w:hint="eastAsia"/>
                <w:vertAlign w:val="superscript"/>
              </w:rPr>
              <w:t>2+</w:t>
            </w:r>
            <w:r>
              <w:rPr>
                <w:rFonts w:hint="eastAsia"/>
              </w:rPr>
              <w:t>）、镁（Mg</w:t>
            </w:r>
            <w:r>
              <w:rPr>
                <w:rFonts w:hint="eastAsia"/>
                <w:vertAlign w:val="superscript"/>
              </w:rPr>
              <w:t>2+</w:t>
            </w:r>
            <w:r>
              <w:rPr>
                <w:rFonts w:hint="eastAsia"/>
              </w:rPr>
              <w:t>）等离子与树脂（NaR）进行反应，从而去除水中的钙镁盐类，使硬水成为软水，其反应过程为：</w:t>
            </w:r>
          </w:p>
          <w:p w14:paraId="5B7A7CF7">
            <w:pPr>
              <w:pStyle w:val="3"/>
              <w:ind w:firstLine="480"/>
            </w:pPr>
            <w:r>
              <w:rPr>
                <w:rFonts w:hint="eastAsia"/>
              </w:rPr>
              <w:t>Ca</w:t>
            </w:r>
            <w:r>
              <w:rPr>
                <w:rFonts w:hint="eastAsia"/>
                <w:vertAlign w:val="superscript"/>
              </w:rPr>
              <w:t>2+</w:t>
            </w:r>
            <w:r>
              <w:rPr>
                <w:rFonts w:hint="eastAsia"/>
              </w:rPr>
              <w:t>+2NaR→CaR</w:t>
            </w:r>
            <w:r>
              <w:rPr>
                <w:rFonts w:hint="eastAsia"/>
                <w:vertAlign w:val="subscript"/>
              </w:rPr>
              <w:t>2</w:t>
            </w:r>
            <w:r>
              <w:rPr>
                <w:rFonts w:hint="eastAsia"/>
              </w:rPr>
              <w:t>+2Na+</w:t>
            </w:r>
          </w:p>
          <w:p w14:paraId="0518F556">
            <w:pPr>
              <w:pStyle w:val="3"/>
              <w:ind w:firstLine="480"/>
            </w:pPr>
            <w:r>
              <w:rPr>
                <w:rFonts w:hint="eastAsia"/>
              </w:rPr>
              <w:t>Mg</w:t>
            </w:r>
            <w:r>
              <w:rPr>
                <w:rFonts w:hint="eastAsia"/>
                <w:vertAlign w:val="superscript"/>
              </w:rPr>
              <w:t>2+</w:t>
            </w:r>
            <w:r>
              <w:rPr>
                <w:rFonts w:hint="eastAsia"/>
              </w:rPr>
              <w:t>+2NaR→MgR</w:t>
            </w:r>
            <w:r>
              <w:rPr>
                <w:rFonts w:hint="eastAsia"/>
                <w:vertAlign w:val="subscript"/>
              </w:rPr>
              <w:t>2</w:t>
            </w:r>
            <w:r>
              <w:rPr>
                <w:rFonts w:hint="eastAsia"/>
              </w:rPr>
              <w:t>+2Na</w:t>
            </w:r>
            <w:r>
              <w:rPr>
                <w:rFonts w:hint="eastAsia"/>
                <w:vertAlign w:val="superscript"/>
              </w:rPr>
              <w:t>+</w:t>
            </w:r>
            <w:r>
              <w:rPr>
                <w:rFonts w:hint="eastAsia"/>
              </w:rPr>
              <w:t>（R为树脂团）</w:t>
            </w:r>
          </w:p>
          <w:p w14:paraId="79F1AB56">
            <w:pPr>
              <w:pStyle w:val="3"/>
              <w:ind w:firstLine="480"/>
            </w:pPr>
            <w:r>
              <w:rPr>
                <w:rFonts w:hint="eastAsia"/>
              </w:rPr>
              <w:t>与原水交换后的树脂成为饱和树脂，通入盐液进行再生，在再生塔内与盐水置换反应，还原成新生树脂恢复交换能力，经清洗后，重新进行工作。</w:t>
            </w:r>
          </w:p>
          <w:p w14:paraId="47470B49">
            <w:pPr>
              <w:pStyle w:val="3"/>
              <w:ind w:firstLine="480"/>
            </w:pPr>
            <w:r>
              <w:rPr>
                <w:rFonts w:hint="eastAsia"/>
              </w:rPr>
              <w:t>其反应过程如下：</w:t>
            </w:r>
          </w:p>
          <w:p w14:paraId="0B88D1E7">
            <w:pPr>
              <w:pStyle w:val="3"/>
              <w:ind w:firstLine="480"/>
            </w:pPr>
            <w:r>
              <w:rPr>
                <w:rFonts w:hint="eastAsia"/>
              </w:rPr>
              <w:t>CaR</w:t>
            </w:r>
            <w:r>
              <w:rPr>
                <w:rFonts w:hint="eastAsia"/>
                <w:vertAlign w:val="subscript"/>
              </w:rPr>
              <w:t>2</w:t>
            </w:r>
            <w:r>
              <w:rPr>
                <w:rFonts w:hint="eastAsia"/>
              </w:rPr>
              <w:t>+2NaCl→2NaR+CaCl</w:t>
            </w:r>
            <w:r>
              <w:rPr>
                <w:rFonts w:hint="eastAsia"/>
                <w:vertAlign w:val="subscript"/>
              </w:rPr>
              <w:t>2</w:t>
            </w:r>
          </w:p>
          <w:p w14:paraId="1AE9515A">
            <w:pPr>
              <w:pStyle w:val="3"/>
              <w:ind w:firstLine="480"/>
            </w:pPr>
            <w:r>
              <w:rPr>
                <w:rFonts w:hint="eastAsia"/>
              </w:rPr>
              <w:t>MgR</w:t>
            </w:r>
            <w:r>
              <w:rPr>
                <w:rFonts w:hint="eastAsia"/>
                <w:vertAlign w:val="subscript"/>
              </w:rPr>
              <w:t>2</w:t>
            </w:r>
            <w:r>
              <w:rPr>
                <w:rFonts w:hint="eastAsia"/>
              </w:rPr>
              <w:t>+2NaCl→2NaR+MgCl</w:t>
            </w:r>
            <w:r>
              <w:rPr>
                <w:rFonts w:hint="eastAsia"/>
                <w:vertAlign w:val="subscript"/>
              </w:rPr>
              <w:t>2</w:t>
            </w:r>
          </w:p>
          <w:p w14:paraId="03E2B9A6">
            <w:pPr>
              <w:pStyle w:val="3"/>
              <w:ind w:firstLine="480"/>
            </w:pPr>
            <w:r>
              <w:rPr>
                <w:rFonts w:hint="eastAsia"/>
              </w:rPr>
              <w:t>系统处理后，其出水水质指标如下：</w:t>
            </w:r>
          </w:p>
          <w:p w14:paraId="2BF8C184">
            <w:pPr>
              <w:pStyle w:val="3"/>
              <w:ind w:firstLine="480"/>
            </w:pPr>
            <w:r>
              <w:rPr>
                <w:rFonts w:hint="eastAsia"/>
              </w:rPr>
              <w:t>硬度≤0.0025mol/L；</w:t>
            </w:r>
          </w:p>
          <w:p w14:paraId="01249EE0">
            <w:pPr>
              <w:pStyle w:val="3"/>
              <w:ind w:firstLine="480"/>
            </w:pPr>
            <w:r>
              <w:rPr>
                <w:rFonts w:hint="eastAsia"/>
              </w:rPr>
              <w:t>除盐水箱进水电导率≤0.2μS/cm（25℃）；</w:t>
            </w:r>
          </w:p>
          <w:p w14:paraId="74EFBA82">
            <w:pPr>
              <w:pStyle w:val="3"/>
              <w:ind w:firstLine="480"/>
            </w:pPr>
            <w:r>
              <w:rPr>
                <w:rFonts w:hint="eastAsia"/>
              </w:rPr>
              <w:t>除盐水箱出口电导率≤0.4μS/cm（25℃）。</w:t>
            </w:r>
          </w:p>
          <w:p w14:paraId="4D22F3D7">
            <w:pPr>
              <w:pStyle w:val="3"/>
              <w:ind w:firstLine="480"/>
            </w:pPr>
            <w:r>
              <w:rPr>
                <w:rFonts w:hint="eastAsia"/>
              </w:rPr>
              <w:t>再生时将产生含高浓度Ca</w:t>
            </w:r>
            <w:r>
              <w:rPr>
                <w:rFonts w:hint="eastAsia"/>
                <w:vertAlign w:val="superscript"/>
              </w:rPr>
              <w:t>2+</w:t>
            </w:r>
            <w:r>
              <w:rPr>
                <w:rFonts w:hint="eastAsia"/>
              </w:rPr>
              <w:t>、Mg</w:t>
            </w:r>
            <w:r>
              <w:rPr>
                <w:rFonts w:hint="eastAsia"/>
                <w:vertAlign w:val="superscript"/>
              </w:rPr>
              <w:t>2+</w:t>
            </w:r>
            <w:r>
              <w:rPr>
                <w:rFonts w:hint="eastAsia"/>
              </w:rPr>
              <w:t>的高硬度废水，即软化废水。</w:t>
            </w:r>
          </w:p>
          <w:p w14:paraId="6693AFB3">
            <w:pPr>
              <w:pStyle w:val="3"/>
              <w:ind w:firstLine="480"/>
            </w:pPr>
            <w:bookmarkStart w:id="122" w:name="_Ref176884529"/>
            <w:r>
              <w:rPr>
                <w:rFonts w:hint="eastAsia"/>
              </w:rPr>
              <w:t>2、锅炉制备蒸汽</w:t>
            </w:r>
          </w:p>
          <w:p w14:paraId="2CF0B02F">
            <w:pPr>
              <w:pStyle w:val="3"/>
              <w:ind w:firstLine="480"/>
            </w:pPr>
            <w:r>
              <w:rPr>
                <w:rFonts w:hint="eastAsia"/>
              </w:rPr>
              <w:t>本项目新增设置4台8t/h生物质锅炉，使用软水生产热蒸汽，并供给园区内企业生产过程中使用。本项目生物质成型颗粒燃料为压实的长条状燃料，提升皮带输送上料，燃烧废气采用“低氮燃烧</w:t>
            </w:r>
            <w:r>
              <w:t>+</w:t>
            </w:r>
            <w:r>
              <w:rPr>
                <w:rFonts w:hint="eastAsia"/>
                <w:color w:val="auto"/>
                <w:u w:val="single"/>
              </w:rPr>
              <w:t>多管旋风除尘</w:t>
            </w:r>
            <w:r>
              <w:rPr>
                <w:color w:val="auto"/>
                <w:u w:val="single"/>
              </w:rPr>
              <w:t>+</w:t>
            </w:r>
            <w:r>
              <w:rPr>
                <w:rFonts w:hint="eastAsia"/>
              </w:rPr>
              <w:t>布袋除尘”处理达标后，由</w:t>
            </w:r>
            <w:r>
              <w:t>1</w:t>
            </w:r>
            <w:r>
              <w:rPr>
                <w:rFonts w:hint="eastAsia"/>
              </w:rPr>
              <w:t>根</w:t>
            </w:r>
            <w:r>
              <w:t>45m</w:t>
            </w:r>
            <w:r>
              <w:rPr>
                <w:rFonts w:hint="eastAsia"/>
              </w:rPr>
              <w:t>高的排气筒排放。</w:t>
            </w:r>
          </w:p>
          <w:p w14:paraId="67B1B490">
            <w:pPr>
              <w:pStyle w:val="51"/>
            </w:pPr>
            <w:r>
              <w:drawing>
                <wp:inline distT="0" distB="0" distL="0" distR="0">
                  <wp:extent cx="4319905" cy="1346835"/>
                  <wp:effectExtent l="0" t="0" r="4445" b="5715"/>
                  <wp:docPr id="2052064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06462" name="图片 1"/>
                          <pic:cNvPicPr>
                            <a:picLocks noChangeAspect="1"/>
                          </pic:cNvPicPr>
                        </pic:nvPicPr>
                        <pic:blipFill>
                          <a:blip r:embed="rId18"/>
                          <a:stretch>
                            <a:fillRect/>
                          </a:stretch>
                        </pic:blipFill>
                        <pic:spPr>
                          <a:xfrm>
                            <a:off x="0" y="0"/>
                            <a:ext cx="4320000" cy="1347191"/>
                          </a:xfrm>
                          <a:prstGeom prst="rect">
                            <a:avLst/>
                          </a:prstGeom>
                        </pic:spPr>
                      </pic:pic>
                    </a:graphicData>
                  </a:graphic>
                </wp:inline>
              </w:drawing>
            </w:r>
          </w:p>
          <w:p w14:paraId="4F8CF9C4">
            <w:pPr>
              <w:pStyle w:val="49"/>
            </w:pPr>
            <w:bookmarkStart w:id="123" w:name="OLE_LINK42"/>
            <w:bookmarkStart w:id="124" w:name="_Ref192749162"/>
            <w:r>
              <w:rPr>
                <w:rFonts w:hint="eastAsia"/>
              </w:rPr>
              <w:t xml:space="preserve">图2- </w:t>
            </w:r>
            <w:r>
              <w:fldChar w:fldCharType="begin"/>
            </w:r>
            <w:r>
              <w:instrText xml:space="preserve"> </w:instrText>
            </w:r>
            <w:r>
              <w:rPr>
                <w:rFonts w:hint="eastAsia"/>
              </w:rPr>
              <w:instrText xml:space="preserve">SEQ 图2- \* ARABIC</w:instrText>
            </w:r>
            <w:r>
              <w:instrText xml:space="preserve"> </w:instrText>
            </w:r>
            <w:r>
              <w:fldChar w:fldCharType="separate"/>
            </w:r>
            <w:r>
              <w:t>6</w:t>
            </w:r>
            <w:r>
              <w:fldChar w:fldCharType="end"/>
            </w:r>
            <w:r>
              <w:rPr>
                <w:rFonts w:hint="eastAsia"/>
              </w:rPr>
              <w:t>：</w:t>
            </w:r>
            <w:bookmarkEnd w:id="123"/>
            <w:r>
              <w:rPr>
                <w:rFonts w:hint="eastAsia"/>
              </w:rPr>
              <w:t>本项目工艺流程及产污节点图</w:t>
            </w:r>
            <w:bookmarkEnd w:id="124"/>
          </w:p>
          <w:p w14:paraId="6E6BFA78">
            <w:pPr>
              <w:pStyle w:val="49"/>
            </w:pPr>
            <w:bookmarkStart w:id="125" w:name="_Ref186212314"/>
            <w:r>
              <w:rPr>
                <w:rFonts w:hint="eastAsia"/>
              </w:rPr>
              <w:t xml:space="preserve">表2- </w:t>
            </w:r>
            <w:r>
              <w:fldChar w:fldCharType="begin"/>
            </w:r>
            <w:r>
              <w:instrText xml:space="preserve"> </w:instrText>
            </w:r>
            <w:r>
              <w:rPr>
                <w:rFonts w:hint="eastAsia"/>
              </w:rPr>
              <w:instrText xml:space="preserve">SEQ 表2- \* ARABIC</w:instrText>
            </w:r>
            <w:r>
              <w:instrText xml:space="preserve"> </w:instrText>
            </w:r>
            <w:r>
              <w:fldChar w:fldCharType="separate"/>
            </w:r>
            <w:r>
              <w:t>9</w:t>
            </w:r>
            <w:r>
              <w:fldChar w:fldCharType="end"/>
            </w:r>
            <w:r>
              <w:rPr>
                <w:rFonts w:hint="eastAsia"/>
              </w:rPr>
              <w:t>：</w:t>
            </w:r>
            <w:bookmarkStart w:id="126" w:name="OLE_LINK10"/>
            <w:r>
              <w:rPr>
                <w:rFonts w:hint="eastAsia"/>
              </w:rPr>
              <w:t>主要产排污节点一览表</w:t>
            </w:r>
            <w:bookmarkEnd w:id="122"/>
            <w:bookmarkEnd w:id="125"/>
            <w:bookmarkEnd w:id="126"/>
          </w:p>
          <w:tbl>
            <w:tblPr>
              <w:tblStyle w:val="5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437"/>
              <w:gridCol w:w="581"/>
              <w:gridCol w:w="1240"/>
              <w:gridCol w:w="1672"/>
              <w:gridCol w:w="1379"/>
              <w:gridCol w:w="749"/>
              <w:gridCol w:w="2319"/>
            </w:tblGrid>
            <w:tr w14:paraId="04A7B7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65" w:hRule="atLeast"/>
                <w:jc w:val="center"/>
              </w:trPr>
              <w:tc>
                <w:tcPr>
                  <w:tcW w:w="261" w:type="pct"/>
                  <w:tcBorders>
                    <w:top w:val="single" w:color="auto" w:sz="12" w:space="0"/>
                    <w:left w:val="nil"/>
                    <w:bottom w:val="single" w:color="auto" w:sz="12" w:space="0"/>
                    <w:right w:val="single" w:color="auto" w:sz="4" w:space="0"/>
                    <w:insideH w:val="single" w:sz="12" w:space="0"/>
                    <w:insideV w:val="single" w:sz="4" w:space="0"/>
                    <w:tl2br w:val="nil"/>
                    <w:tr2bl w:val="nil"/>
                  </w:tcBorders>
                  <w:vAlign w:val="center"/>
                </w:tcPr>
                <w:p w14:paraId="3F74BB5D">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val="0"/>
                      <w:i w:val="0"/>
                      <w:sz w:val="21"/>
                      <w:szCs w:val="21"/>
                      <w14:ligatures w14:val="standardContextual"/>
                    </w:rPr>
                  </w:pPr>
                  <w:r>
                    <w:rPr>
                      <w:rFonts w:hint="default" w:ascii="Times New Roman" w:hAnsi="Times New Roman" w:eastAsia="宋体" w:cs="Times New Roman"/>
                      <w:b/>
                      <w:i w:val="0"/>
                      <w:sz w:val="21"/>
                      <w:szCs w:val="21"/>
                      <w14:ligatures w14:val="standardContextual"/>
                    </w:rPr>
                    <w:t>污染</w:t>
                  </w:r>
                </w:p>
              </w:tc>
              <w:tc>
                <w:tcPr>
                  <w:tcW w:w="347"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48DEA375">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z w:val="21"/>
                      <w:szCs w:val="21"/>
                      <w14:ligatures w14:val="standardContextual"/>
                    </w:rPr>
                  </w:pPr>
                  <w:r>
                    <w:rPr>
                      <w:rFonts w:hint="eastAsia" w:ascii="Times New Roman" w:hAnsi="Times New Roman" w:eastAsia="宋体" w:cs="Times New Roman"/>
                      <w:b/>
                      <w:i w:val="0"/>
                      <w:sz w:val="21"/>
                      <w:szCs w:val="21"/>
                      <w14:ligatures w14:val="standardContextual"/>
                    </w:rPr>
                    <w:t>编号</w:t>
                  </w:r>
                </w:p>
              </w:tc>
              <w:tc>
                <w:tcPr>
                  <w:tcW w:w="740"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6B3F93E2">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z w:val="21"/>
                      <w:szCs w:val="21"/>
                      <w14:ligatures w14:val="standardContextual"/>
                    </w:rPr>
                  </w:pPr>
                  <w:r>
                    <w:rPr>
                      <w:rFonts w:hint="eastAsia" w:ascii="Times New Roman" w:hAnsi="Times New Roman" w:eastAsia="宋体" w:cs="Times New Roman"/>
                      <w:b/>
                      <w:i w:val="0"/>
                      <w:sz w:val="21"/>
                      <w:szCs w:val="21"/>
                      <w14:ligatures w14:val="standardContextual"/>
                    </w:rPr>
                    <w:t>产污节点</w:t>
                  </w:r>
                </w:p>
              </w:tc>
              <w:tc>
                <w:tcPr>
                  <w:tcW w:w="998"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7C44BCAB">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val="0"/>
                      <w:i w:val="0"/>
                      <w:sz w:val="21"/>
                      <w:szCs w:val="21"/>
                      <w14:ligatures w14:val="standardContextual"/>
                    </w:rPr>
                  </w:pPr>
                  <w:r>
                    <w:rPr>
                      <w:rFonts w:hint="default" w:ascii="Times New Roman" w:hAnsi="Times New Roman" w:eastAsia="宋体" w:cs="Times New Roman"/>
                      <w:b/>
                      <w:i w:val="0"/>
                      <w:sz w:val="21"/>
                      <w:szCs w:val="21"/>
                      <w14:ligatures w14:val="standardContextual"/>
                    </w:rPr>
                    <w:t>污染源</w:t>
                  </w:r>
                </w:p>
              </w:tc>
              <w:tc>
                <w:tcPr>
                  <w:tcW w:w="823"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7406DCCF">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val="0"/>
                      <w:i w:val="0"/>
                      <w:sz w:val="21"/>
                      <w:szCs w:val="21"/>
                      <w14:ligatures w14:val="standardContextual"/>
                    </w:rPr>
                  </w:pPr>
                  <w:r>
                    <w:rPr>
                      <w:rFonts w:hint="default" w:ascii="Times New Roman" w:hAnsi="Times New Roman" w:eastAsia="宋体" w:cs="Times New Roman"/>
                      <w:b/>
                      <w:i w:val="0"/>
                      <w:sz w:val="21"/>
                      <w:szCs w:val="21"/>
                      <w14:ligatures w14:val="standardContextual"/>
                    </w:rPr>
                    <w:t>主要污染物</w:t>
                  </w:r>
                </w:p>
              </w:tc>
              <w:tc>
                <w:tcPr>
                  <w:tcW w:w="447"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4651F898">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val="0"/>
                      <w:i w:val="0"/>
                      <w:sz w:val="21"/>
                      <w:szCs w:val="21"/>
                      <w14:ligatures w14:val="standardContextual"/>
                    </w:rPr>
                  </w:pPr>
                  <w:r>
                    <w:rPr>
                      <w:rFonts w:hint="default" w:ascii="Times New Roman" w:hAnsi="Times New Roman" w:eastAsia="宋体" w:cs="Times New Roman"/>
                      <w:b/>
                      <w:i w:val="0"/>
                      <w:sz w:val="21"/>
                      <w:szCs w:val="21"/>
                      <w14:ligatures w14:val="standardContextual"/>
                    </w:rPr>
                    <w:t>排放</w:t>
                  </w:r>
                </w:p>
              </w:tc>
              <w:tc>
                <w:tcPr>
                  <w:tcW w:w="1384" w:type="pct"/>
                  <w:tcBorders>
                    <w:top w:val="single" w:color="auto" w:sz="12" w:space="0"/>
                    <w:bottom w:val="single" w:color="auto" w:sz="12" w:space="0"/>
                    <w:right w:val="nil"/>
                    <w:insideH w:val="single" w:sz="12" w:space="0"/>
                    <w:insideV w:val="single" w:sz="4" w:space="0"/>
                    <w:tl2br w:val="nil"/>
                    <w:tr2bl w:val="nil"/>
                  </w:tcBorders>
                  <w:vAlign w:val="center"/>
                </w:tcPr>
                <w:p w14:paraId="51BAC1C0">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val="0"/>
                      <w:i w:val="0"/>
                      <w:sz w:val="21"/>
                      <w:szCs w:val="21"/>
                      <w14:ligatures w14:val="standardContextual"/>
                    </w:rPr>
                  </w:pPr>
                  <w:r>
                    <w:rPr>
                      <w:rFonts w:hint="default" w:ascii="Times New Roman" w:hAnsi="Times New Roman" w:eastAsia="宋体" w:cs="Times New Roman"/>
                      <w:b/>
                      <w:i w:val="0"/>
                      <w:sz w:val="21"/>
                      <w:szCs w:val="21"/>
                      <w14:ligatures w14:val="standardContextual"/>
                    </w:rPr>
                    <w:t>治理措施及排放去向</w:t>
                  </w:r>
                </w:p>
              </w:tc>
            </w:tr>
            <w:tr w14:paraId="768B6E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674" w:hRule="atLeast"/>
                <w:jc w:val="center"/>
              </w:trPr>
              <w:tc>
                <w:tcPr>
                  <w:tcW w:w="261" w:type="pct"/>
                  <w:vMerge w:val="restart"/>
                  <w:vAlign w:val="center"/>
                </w:tcPr>
                <w:p w14:paraId="3AFA5F18">
                  <w:pPr>
                    <w:widowControl w:val="0"/>
                    <w:overflowPunct w:val="0"/>
                    <w:autoSpaceDE w:val="0"/>
                    <w:autoSpaceDN w:val="0"/>
                    <w:snapToGrid w:val="0"/>
                    <w:jc w:val="center"/>
                    <w:rPr>
                      <w14:ligatures w14:val="standardContextual"/>
                    </w:rPr>
                  </w:pPr>
                  <w:r>
                    <w:rPr>
                      <w:rFonts w:hint="eastAsia"/>
                      <w14:ligatures w14:val="standardContextual"/>
                    </w:rPr>
                    <w:t>废水</w:t>
                  </w:r>
                </w:p>
              </w:tc>
              <w:tc>
                <w:tcPr>
                  <w:tcW w:w="347" w:type="pct"/>
                  <w:vAlign w:val="center"/>
                </w:tcPr>
                <w:p w14:paraId="16781D6B">
                  <w:pPr>
                    <w:widowControl w:val="0"/>
                    <w:overflowPunct w:val="0"/>
                    <w:autoSpaceDE w:val="0"/>
                    <w:autoSpaceDN w:val="0"/>
                    <w:snapToGrid w:val="0"/>
                    <w:jc w:val="center"/>
                    <w:rPr>
                      <w14:ligatures w14:val="standardContextual"/>
                    </w:rPr>
                  </w:pPr>
                  <w:r>
                    <w:rPr>
                      <w:rFonts w:hint="eastAsia"/>
                      <w14:ligatures w14:val="standardContextual"/>
                    </w:rPr>
                    <w:t>W1</w:t>
                  </w:r>
                </w:p>
              </w:tc>
              <w:tc>
                <w:tcPr>
                  <w:tcW w:w="740" w:type="pct"/>
                  <w:vAlign w:val="center"/>
                </w:tcPr>
                <w:p w14:paraId="3E097B2D">
                  <w:pPr>
                    <w:widowControl w:val="0"/>
                    <w:overflowPunct w:val="0"/>
                    <w:autoSpaceDE w:val="0"/>
                    <w:autoSpaceDN w:val="0"/>
                    <w:snapToGrid w:val="0"/>
                    <w:jc w:val="center"/>
                    <w:rPr>
                      <w14:ligatures w14:val="standardContextual"/>
                    </w:rPr>
                  </w:pPr>
                  <w:r>
                    <w:rPr>
                      <w:rFonts w:hint="eastAsia"/>
                      <w14:ligatures w14:val="standardContextual"/>
                    </w:rPr>
                    <w:t>软化水系统</w:t>
                  </w:r>
                </w:p>
              </w:tc>
              <w:tc>
                <w:tcPr>
                  <w:tcW w:w="998" w:type="pct"/>
                  <w:vAlign w:val="center"/>
                </w:tcPr>
                <w:p w14:paraId="321EFE7A">
                  <w:pPr>
                    <w:widowControl w:val="0"/>
                    <w:overflowPunct w:val="0"/>
                    <w:autoSpaceDE w:val="0"/>
                    <w:autoSpaceDN w:val="0"/>
                    <w:snapToGrid w:val="0"/>
                    <w:jc w:val="center"/>
                    <w:rPr>
                      <w14:ligatures w14:val="standardContextual"/>
                    </w:rPr>
                  </w:pPr>
                  <w:r>
                    <w:rPr>
                      <w:rFonts w:hint="eastAsia"/>
                      <w14:ligatures w14:val="standardContextual"/>
                    </w:rPr>
                    <w:t>软水制备废水</w:t>
                  </w:r>
                </w:p>
              </w:tc>
              <w:tc>
                <w:tcPr>
                  <w:tcW w:w="823" w:type="pct"/>
                  <w:vAlign w:val="center"/>
                </w:tcPr>
                <w:p w14:paraId="6A15513B">
                  <w:pPr>
                    <w:widowControl w:val="0"/>
                    <w:overflowPunct w:val="0"/>
                    <w:autoSpaceDE w:val="0"/>
                    <w:autoSpaceDN w:val="0"/>
                    <w:snapToGrid w:val="0"/>
                    <w:jc w:val="center"/>
                    <w:rPr>
                      <w14:ligatures w14:val="standardContextual"/>
                    </w:rPr>
                  </w:pPr>
                  <w:r>
                    <w:rPr>
                      <w:rFonts w:hint="eastAsia"/>
                      <w14:ligatures w14:val="standardContextual"/>
                    </w:rPr>
                    <w:t>COD、SS</w:t>
                  </w:r>
                </w:p>
              </w:tc>
              <w:tc>
                <w:tcPr>
                  <w:tcW w:w="447" w:type="pct"/>
                  <w:vAlign w:val="center"/>
                </w:tcPr>
                <w:p w14:paraId="4EDA2624">
                  <w:pPr>
                    <w:widowControl w:val="0"/>
                    <w:overflowPunct w:val="0"/>
                    <w:autoSpaceDE w:val="0"/>
                    <w:autoSpaceDN w:val="0"/>
                    <w:snapToGrid w:val="0"/>
                    <w:jc w:val="center"/>
                    <w:rPr>
                      <w14:ligatures w14:val="standardContextual"/>
                    </w:rPr>
                  </w:pPr>
                  <w:r>
                    <w:rPr>
                      <w:rFonts w:hint="eastAsia"/>
                      <w14:ligatures w14:val="standardContextual"/>
                    </w:rPr>
                    <w:t>连续</w:t>
                  </w:r>
                </w:p>
              </w:tc>
              <w:tc>
                <w:tcPr>
                  <w:tcW w:w="1384" w:type="pct"/>
                  <w:vMerge w:val="restart"/>
                  <w:vAlign w:val="center"/>
                </w:tcPr>
                <w:p w14:paraId="21F60786">
                  <w:pPr>
                    <w:widowControl w:val="0"/>
                    <w:overflowPunct w:val="0"/>
                    <w:autoSpaceDE w:val="0"/>
                    <w:autoSpaceDN w:val="0"/>
                    <w:snapToGrid w:val="0"/>
                    <w:jc w:val="center"/>
                    <w:rPr>
                      <w14:ligatures w14:val="standardContextual"/>
                    </w:rPr>
                  </w:pPr>
                  <w:r>
                    <w:rPr>
                      <w:rFonts w:hint="eastAsia"/>
                      <w14:ligatures w14:val="standardContextual"/>
                    </w:rPr>
                    <w:t>生活污水和生产废水排至污水管网进入大榄坪污水处理厂处理</w:t>
                  </w:r>
                </w:p>
              </w:tc>
            </w:tr>
            <w:tr w14:paraId="277F0F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674" w:hRule="atLeast"/>
                <w:jc w:val="center"/>
              </w:trPr>
              <w:tc>
                <w:tcPr>
                  <w:tcW w:w="261" w:type="pct"/>
                  <w:vMerge w:val="continue"/>
                  <w:vAlign w:val="center"/>
                </w:tcPr>
                <w:p w14:paraId="5514A0C3">
                  <w:pPr>
                    <w:widowControl w:val="0"/>
                    <w:overflowPunct w:val="0"/>
                    <w:autoSpaceDE w:val="0"/>
                    <w:autoSpaceDN w:val="0"/>
                    <w:snapToGrid w:val="0"/>
                    <w:jc w:val="center"/>
                    <w:rPr>
                      <w14:ligatures w14:val="standardContextual"/>
                    </w:rPr>
                  </w:pPr>
                </w:p>
              </w:tc>
              <w:tc>
                <w:tcPr>
                  <w:tcW w:w="347" w:type="pct"/>
                  <w:vAlign w:val="center"/>
                </w:tcPr>
                <w:p w14:paraId="13682D10">
                  <w:pPr>
                    <w:widowControl w:val="0"/>
                    <w:overflowPunct w:val="0"/>
                    <w:autoSpaceDE w:val="0"/>
                    <w:autoSpaceDN w:val="0"/>
                    <w:snapToGrid w:val="0"/>
                    <w:jc w:val="center"/>
                    <w:rPr>
                      <w14:ligatures w14:val="standardContextual"/>
                    </w:rPr>
                  </w:pPr>
                  <w:r>
                    <w:rPr>
                      <w:rFonts w:hint="eastAsia"/>
                      <w14:ligatures w14:val="standardContextual"/>
                    </w:rPr>
                    <w:t>W2</w:t>
                  </w:r>
                </w:p>
              </w:tc>
              <w:tc>
                <w:tcPr>
                  <w:tcW w:w="740" w:type="pct"/>
                  <w:vAlign w:val="center"/>
                </w:tcPr>
                <w:p w14:paraId="1E957896">
                  <w:pPr>
                    <w:widowControl w:val="0"/>
                    <w:overflowPunct w:val="0"/>
                    <w:autoSpaceDE w:val="0"/>
                    <w:autoSpaceDN w:val="0"/>
                    <w:snapToGrid w:val="0"/>
                    <w:jc w:val="center"/>
                    <w:rPr>
                      <w14:ligatures w14:val="standardContextual"/>
                    </w:rPr>
                  </w:pPr>
                  <w:bookmarkStart w:id="127" w:name="OLE_LINK205"/>
                  <w:r>
                    <w:rPr>
                      <w:rFonts w:hint="eastAsia"/>
                      <w14:ligatures w14:val="standardContextual"/>
                    </w:rPr>
                    <w:t>生物质锅炉</w:t>
                  </w:r>
                  <w:bookmarkEnd w:id="127"/>
                </w:p>
              </w:tc>
              <w:tc>
                <w:tcPr>
                  <w:tcW w:w="998" w:type="pct"/>
                  <w:vAlign w:val="center"/>
                </w:tcPr>
                <w:p w14:paraId="673FC7B0">
                  <w:pPr>
                    <w:widowControl w:val="0"/>
                    <w:overflowPunct w:val="0"/>
                    <w:autoSpaceDE w:val="0"/>
                    <w:autoSpaceDN w:val="0"/>
                    <w:snapToGrid w:val="0"/>
                    <w:jc w:val="center"/>
                    <w:rPr>
                      <w14:ligatures w14:val="standardContextual"/>
                    </w:rPr>
                  </w:pPr>
                  <w:r>
                    <w:rPr>
                      <w:rFonts w:hint="eastAsia"/>
                      <w14:ligatures w14:val="standardContextual"/>
                    </w:rPr>
                    <w:t>锅炉排污水</w:t>
                  </w:r>
                </w:p>
              </w:tc>
              <w:tc>
                <w:tcPr>
                  <w:tcW w:w="823" w:type="pct"/>
                  <w:vAlign w:val="center"/>
                </w:tcPr>
                <w:p w14:paraId="14DCA9CB">
                  <w:pPr>
                    <w:widowControl w:val="0"/>
                    <w:overflowPunct w:val="0"/>
                    <w:autoSpaceDE w:val="0"/>
                    <w:autoSpaceDN w:val="0"/>
                    <w:snapToGrid w:val="0"/>
                    <w:jc w:val="center"/>
                    <w:rPr>
                      <w14:ligatures w14:val="standardContextual"/>
                    </w:rPr>
                  </w:pPr>
                  <w:r>
                    <w:rPr>
                      <w:rFonts w:hint="eastAsia"/>
                      <w14:ligatures w14:val="standardContextual"/>
                    </w:rPr>
                    <w:t>COD、SS</w:t>
                  </w:r>
                </w:p>
              </w:tc>
              <w:tc>
                <w:tcPr>
                  <w:tcW w:w="447" w:type="pct"/>
                  <w:vAlign w:val="center"/>
                </w:tcPr>
                <w:p w14:paraId="706A9813">
                  <w:pPr>
                    <w:widowControl w:val="0"/>
                    <w:overflowPunct w:val="0"/>
                    <w:autoSpaceDE w:val="0"/>
                    <w:autoSpaceDN w:val="0"/>
                    <w:snapToGrid w:val="0"/>
                    <w:jc w:val="center"/>
                    <w:rPr>
                      <w14:ligatures w14:val="standardContextual"/>
                    </w:rPr>
                  </w:pPr>
                  <w:r>
                    <w:rPr>
                      <w14:ligatures w14:val="standardContextual"/>
                    </w:rPr>
                    <w:t>间歇</w:t>
                  </w:r>
                </w:p>
              </w:tc>
              <w:tc>
                <w:tcPr>
                  <w:tcW w:w="1384" w:type="pct"/>
                  <w:vMerge w:val="continue"/>
                  <w:vAlign w:val="center"/>
                </w:tcPr>
                <w:p w14:paraId="44590E1C">
                  <w:pPr>
                    <w:widowControl w:val="0"/>
                    <w:overflowPunct w:val="0"/>
                    <w:autoSpaceDE w:val="0"/>
                    <w:autoSpaceDN w:val="0"/>
                    <w:snapToGrid w:val="0"/>
                    <w:jc w:val="center"/>
                    <w:rPr>
                      <w14:ligatures w14:val="standardContextual"/>
                    </w:rPr>
                  </w:pPr>
                </w:p>
              </w:tc>
            </w:tr>
            <w:tr w14:paraId="19C6DE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674" w:hRule="atLeast"/>
                <w:jc w:val="center"/>
              </w:trPr>
              <w:tc>
                <w:tcPr>
                  <w:tcW w:w="261" w:type="pct"/>
                  <w:vMerge w:val="continue"/>
                  <w:vAlign w:val="center"/>
                </w:tcPr>
                <w:p w14:paraId="4A2E2A99">
                  <w:pPr>
                    <w:widowControl w:val="0"/>
                    <w:overflowPunct w:val="0"/>
                    <w:autoSpaceDE w:val="0"/>
                    <w:autoSpaceDN w:val="0"/>
                    <w:snapToGrid w:val="0"/>
                    <w:jc w:val="center"/>
                    <w:rPr>
                      <w14:ligatures w14:val="standardContextual"/>
                    </w:rPr>
                  </w:pPr>
                </w:p>
              </w:tc>
              <w:tc>
                <w:tcPr>
                  <w:tcW w:w="347" w:type="pct"/>
                  <w:vAlign w:val="center"/>
                </w:tcPr>
                <w:p w14:paraId="6824FEDB">
                  <w:pPr>
                    <w:widowControl w:val="0"/>
                    <w:overflowPunct w:val="0"/>
                    <w:autoSpaceDE w:val="0"/>
                    <w:autoSpaceDN w:val="0"/>
                    <w:snapToGrid w:val="0"/>
                    <w:jc w:val="center"/>
                    <w:rPr>
                      <w14:ligatures w14:val="standardContextual"/>
                    </w:rPr>
                  </w:pPr>
                  <w:r>
                    <w:rPr>
                      <w:rFonts w:hint="eastAsia"/>
                      <w14:ligatures w14:val="standardContextual"/>
                    </w:rPr>
                    <w:t>W3</w:t>
                  </w:r>
                </w:p>
              </w:tc>
              <w:tc>
                <w:tcPr>
                  <w:tcW w:w="740" w:type="pct"/>
                  <w:vAlign w:val="center"/>
                </w:tcPr>
                <w:p w14:paraId="6E51F823">
                  <w:pPr>
                    <w:widowControl w:val="0"/>
                    <w:overflowPunct w:val="0"/>
                    <w:autoSpaceDE w:val="0"/>
                    <w:autoSpaceDN w:val="0"/>
                    <w:snapToGrid w:val="0"/>
                    <w:jc w:val="center"/>
                    <w:rPr>
                      <w14:ligatures w14:val="standardContextual"/>
                    </w:rPr>
                  </w:pPr>
                  <w:r>
                    <w:rPr>
                      <w:rFonts w:hint="eastAsia"/>
                      <w14:ligatures w14:val="standardContextual"/>
                    </w:rPr>
                    <w:t>日常办公</w:t>
                  </w:r>
                </w:p>
              </w:tc>
              <w:tc>
                <w:tcPr>
                  <w:tcW w:w="998" w:type="pct"/>
                  <w:vAlign w:val="center"/>
                </w:tcPr>
                <w:p w14:paraId="59A95C16">
                  <w:pPr>
                    <w:widowControl w:val="0"/>
                    <w:overflowPunct w:val="0"/>
                    <w:autoSpaceDE w:val="0"/>
                    <w:autoSpaceDN w:val="0"/>
                    <w:snapToGrid w:val="0"/>
                    <w:jc w:val="center"/>
                    <w:rPr>
                      <w14:ligatures w14:val="standardContextual"/>
                    </w:rPr>
                  </w:pPr>
                  <w:r>
                    <w:rPr>
                      <w:rFonts w:hint="eastAsia"/>
                      <w14:ligatures w14:val="standardContextual"/>
                    </w:rPr>
                    <w:t>生活污水</w:t>
                  </w:r>
                </w:p>
              </w:tc>
              <w:tc>
                <w:tcPr>
                  <w:tcW w:w="823" w:type="pct"/>
                  <w:vAlign w:val="center"/>
                </w:tcPr>
                <w:p w14:paraId="513E9E1E">
                  <w:pPr>
                    <w:widowControl w:val="0"/>
                    <w:overflowPunct w:val="0"/>
                    <w:autoSpaceDE w:val="0"/>
                    <w:autoSpaceDN w:val="0"/>
                    <w:snapToGrid w:val="0"/>
                    <w:jc w:val="center"/>
                    <w:rPr>
                      <w14:ligatures w14:val="standardContextual"/>
                    </w:rPr>
                  </w:pPr>
                  <w:r>
                    <w:rPr>
                      <w:rFonts w:hint="eastAsia"/>
                      <w14:ligatures w14:val="standardContextual"/>
                    </w:rPr>
                    <w:t>COD、BOD5、SS、氨氮</w:t>
                  </w:r>
                </w:p>
              </w:tc>
              <w:tc>
                <w:tcPr>
                  <w:tcW w:w="447" w:type="pct"/>
                  <w:vAlign w:val="center"/>
                </w:tcPr>
                <w:p w14:paraId="6A44D4D7">
                  <w:pPr>
                    <w:widowControl w:val="0"/>
                    <w:overflowPunct w:val="0"/>
                    <w:autoSpaceDE w:val="0"/>
                    <w:autoSpaceDN w:val="0"/>
                    <w:snapToGrid w:val="0"/>
                    <w:jc w:val="center"/>
                    <w:rPr>
                      <w14:ligatures w14:val="standardContextual"/>
                    </w:rPr>
                  </w:pPr>
                  <w:r>
                    <w:rPr>
                      <w14:ligatures w14:val="standardContextual"/>
                    </w:rPr>
                    <w:t>间歇</w:t>
                  </w:r>
                </w:p>
              </w:tc>
              <w:tc>
                <w:tcPr>
                  <w:tcW w:w="1384" w:type="pct"/>
                  <w:vMerge w:val="continue"/>
                  <w:vAlign w:val="center"/>
                </w:tcPr>
                <w:p w14:paraId="6DA6242E">
                  <w:pPr>
                    <w:widowControl w:val="0"/>
                    <w:overflowPunct w:val="0"/>
                    <w:autoSpaceDE w:val="0"/>
                    <w:autoSpaceDN w:val="0"/>
                    <w:snapToGrid w:val="0"/>
                    <w:jc w:val="center"/>
                    <w:rPr>
                      <w14:ligatures w14:val="standardContextual"/>
                    </w:rPr>
                  </w:pPr>
                </w:p>
              </w:tc>
            </w:tr>
            <w:tr w14:paraId="43F68B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65" w:hRule="atLeast"/>
                <w:jc w:val="center"/>
              </w:trPr>
              <w:tc>
                <w:tcPr>
                  <w:tcW w:w="261" w:type="pct"/>
                  <w:vAlign w:val="center"/>
                </w:tcPr>
                <w:p w14:paraId="308137A7">
                  <w:pPr>
                    <w:widowControl w:val="0"/>
                    <w:overflowPunct w:val="0"/>
                    <w:autoSpaceDE w:val="0"/>
                    <w:autoSpaceDN w:val="0"/>
                    <w:snapToGrid w:val="0"/>
                    <w:jc w:val="center"/>
                    <w:rPr>
                      <w14:ligatures w14:val="standardContextual"/>
                    </w:rPr>
                  </w:pPr>
                  <w:r>
                    <w:rPr>
                      <w14:ligatures w14:val="standardContextual"/>
                    </w:rPr>
                    <w:t>废</w:t>
                  </w:r>
                  <w:r>
                    <w:rPr>
                      <w:rFonts w:hint="eastAsia"/>
                      <w14:ligatures w14:val="standardContextual"/>
                    </w:rPr>
                    <w:t>气</w:t>
                  </w:r>
                </w:p>
              </w:tc>
              <w:tc>
                <w:tcPr>
                  <w:tcW w:w="347" w:type="pct"/>
                  <w:vAlign w:val="center"/>
                </w:tcPr>
                <w:p w14:paraId="49CF0A1E">
                  <w:pPr>
                    <w:widowControl w:val="0"/>
                    <w:overflowPunct w:val="0"/>
                    <w:autoSpaceDE w:val="0"/>
                    <w:autoSpaceDN w:val="0"/>
                    <w:snapToGrid w:val="0"/>
                    <w:jc w:val="center"/>
                    <w:rPr>
                      <w14:ligatures w14:val="standardContextual"/>
                    </w:rPr>
                  </w:pPr>
                  <w:r>
                    <w:rPr>
                      <w:rFonts w:hint="eastAsia"/>
                      <w14:ligatures w14:val="standardContextual"/>
                    </w:rPr>
                    <w:t>G1</w:t>
                  </w:r>
                </w:p>
              </w:tc>
              <w:tc>
                <w:tcPr>
                  <w:tcW w:w="740" w:type="pct"/>
                  <w:vAlign w:val="center"/>
                </w:tcPr>
                <w:p w14:paraId="50F7DC9F">
                  <w:pPr>
                    <w:widowControl w:val="0"/>
                    <w:overflowPunct w:val="0"/>
                    <w:autoSpaceDE w:val="0"/>
                    <w:autoSpaceDN w:val="0"/>
                    <w:snapToGrid w:val="0"/>
                    <w:jc w:val="center"/>
                    <w:rPr>
                      <w14:ligatures w14:val="standardContextual"/>
                    </w:rPr>
                  </w:pPr>
                  <w:bookmarkStart w:id="128" w:name="OLE_LINK206"/>
                  <w:r>
                    <w:rPr>
                      <w:rFonts w:hint="eastAsia"/>
                      <w14:ligatures w14:val="standardContextual"/>
                    </w:rPr>
                    <w:t>生物质锅炉</w:t>
                  </w:r>
                  <w:bookmarkEnd w:id="128"/>
                </w:p>
              </w:tc>
              <w:tc>
                <w:tcPr>
                  <w:tcW w:w="998" w:type="pct"/>
                  <w:vAlign w:val="center"/>
                </w:tcPr>
                <w:p w14:paraId="6840C480">
                  <w:pPr>
                    <w:widowControl w:val="0"/>
                    <w:overflowPunct w:val="0"/>
                    <w:autoSpaceDE w:val="0"/>
                    <w:autoSpaceDN w:val="0"/>
                    <w:snapToGrid w:val="0"/>
                    <w:jc w:val="center"/>
                    <w:rPr>
                      <w14:ligatures w14:val="standardContextual"/>
                    </w:rPr>
                  </w:pPr>
                  <w:bookmarkStart w:id="129" w:name="OLE_LINK225"/>
                  <w:r>
                    <w:rPr>
                      <w:rFonts w:hint="eastAsia"/>
                      <w14:ligatures w14:val="standardContextual"/>
                    </w:rPr>
                    <w:t>生物质锅炉燃烧废气</w:t>
                  </w:r>
                  <w:bookmarkEnd w:id="129"/>
                </w:p>
              </w:tc>
              <w:tc>
                <w:tcPr>
                  <w:tcW w:w="823" w:type="pct"/>
                  <w:vAlign w:val="center"/>
                </w:tcPr>
                <w:p w14:paraId="17BF639B">
                  <w:pPr>
                    <w:widowControl w:val="0"/>
                    <w:overflowPunct w:val="0"/>
                    <w:autoSpaceDE w:val="0"/>
                    <w:autoSpaceDN w:val="0"/>
                    <w:snapToGrid w:val="0"/>
                    <w:jc w:val="center"/>
                    <w:rPr>
                      <w14:ligatures w14:val="standardContextual"/>
                    </w:rPr>
                  </w:pPr>
                  <w:r>
                    <w:rPr>
                      <w:rFonts w:hint="eastAsia"/>
                      <w14:ligatures w14:val="standardContextual"/>
                    </w:rPr>
                    <w:t>颗粒物、SO</w:t>
                  </w:r>
                  <w:r>
                    <w:rPr>
                      <w:rFonts w:hint="eastAsia"/>
                      <w:vertAlign w:val="subscript"/>
                      <w14:ligatures w14:val="standardContextual"/>
                    </w:rPr>
                    <w:t>2</w:t>
                  </w:r>
                  <w:r>
                    <w:rPr>
                      <w:rFonts w:hint="eastAsia"/>
                      <w14:ligatures w14:val="standardContextual"/>
                    </w:rPr>
                    <w:t>、NOx、</w:t>
                  </w:r>
                </w:p>
              </w:tc>
              <w:tc>
                <w:tcPr>
                  <w:tcW w:w="447" w:type="pct"/>
                  <w:vAlign w:val="center"/>
                </w:tcPr>
                <w:p w14:paraId="245CE383">
                  <w:pPr>
                    <w:widowControl w:val="0"/>
                    <w:overflowPunct w:val="0"/>
                    <w:autoSpaceDE w:val="0"/>
                    <w:autoSpaceDN w:val="0"/>
                    <w:snapToGrid w:val="0"/>
                    <w:jc w:val="center"/>
                    <w:rPr>
                      <w14:ligatures w14:val="standardContextual"/>
                    </w:rPr>
                  </w:pPr>
                  <w:bookmarkStart w:id="130" w:name="OLE_LINK90"/>
                  <w:r>
                    <w:rPr>
                      <w:rFonts w:hint="eastAsia"/>
                      <w14:ligatures w14:val="standardContextual"/>
                    </w:rPr>
                    <w:t>连续</w:t>
                  </w:r>
                  <w:bookmarkEnd w:id="130"/>
                </w:p>
              </w:tc>
              <w:tc>
                <w:tcPr>
                  <w:tcW w:w="1384" w:type="pct"/>
                  <w:vAlign w:val="center"/>
                </w:tcPr>
                <w:p w14:paraId="1A90E6E4">
                  <w:pPr>
                    <w:widowControl w:val="0"/>
                    <w:overflowPunct w:val="0"/>
                    <w:autoSpaceDE w:val="0"/>
                    <w:autoSpaceDN w:val="0"/>
                    <w:snapToGrid w:val="0"/>
                    <w:jc w:val="center"/>
                    <w:rPr>
                      <w14:ligatures w14:val="standardContextual"/>
                    </w:rPr>
                  </w:pPr>
                  <w:r>
                    <w:rPr>
                      <w:rFonts w:hint="eastAsia"/>
                      <w14:ligatures w14:val="standardContextual"/>
                    </w:rPr>
                    <w:t>生物质锅炉燃烧废气采用“低氮燃烧+多管旋风除尘+布袋除尘”处理达标后，由1根45m高的排气筒排放</w:t>
                  </w:r>
                </w:p>
              </w:tc>
            </w:tr>
            <w:tr w14:paraId="390BF7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65" w:hRule="atLeast"/>
                <w:jc w:val="center"/>
              </w:trPr>
              <w:tc>
                <w:tcPr>
                  <w:tcW w:w="261" w:type="pct"/>
                  <w:vAlign w:val="center"/>
                </w:tcPr>
                <w:p w14:paraId="5262769C">
                  <w:pPr>
                    <w:widowControl w:val="0"/>
                    <w:overflowPunct w:val="0"/>
                    <w:autoSpaceDE w:val="0"/>
                    <w:autoSpaceDN w:val="0"/>
                    <w:snapToGrid w:val="0"/>
                    <w:jc w:val="center"/>
                    <w:rPr>
                      <w14:ligatures w14:val="standardContextual"/>
                    </w:rPr>
                  </w:pPr>
                  <w:r>
                    <w:rPr>
                      <w14:ligatures w14:val="standardContextual"/>
                    </w:rPr>
                    <w:t>噪声</w:t>
                  </w:r>
                </w:p>
              </w:tc>
              <w:tc>
                <w:tcPr>
                  <w:tcW w:w="347" w:type="pct"/>
                  <w:vAlign w:val="center"/>
                </w:tcPr>
                <w:p w14:paraId="1950DF2D">
                  <w:pPr>
                    <w:widowControl w:val="0"/>
                    <w:overflowPunct w:val="0"/>
                    <w:autoSpaceDE w:val="0"/>
                    <w:autoSpaceDN w:val="0"/>
                    <w:snapToGrid w:val="0"/>
                    <w:jc w:val="center"/>
                    <w:rPr>
                      <w14:ligatures w14:val="standardContextual"/>
                    </w:rPr>
                  </w:pPr>
                  <w:r>
                    <w:rPr>
                      <w:rFonts w:hint="eastAsia"/>
                      <w14:ligatures w14:val="standardContextual"/>
                    </w:rPr>
                    <w:t>N</w:t>
                  </w:r>
                </w:p>
              </w:tc>
              <w:tc>
                <w:tcPr>
                  <w:tcW w:w="740" w:type="pct"/>
                  <w:vAlign w:val="center"/>
                </w:tcPr>
                <w:p w14:paraId="7341E19D">
                  <w:pPr>
                    <w:widowControl w:val="0"/>
                    <w:overflowPunct w:val="0"/>
                    <w:autoSpaceDE w:val="0"/>
                    <w:autoSpaceDN w:val="0"/>
                    <w:snapToGrid w:val="0"/>
                    <w:jc w:val="center"/>
                    <w:rPr>
                      <w14:ligatures w14:val="standardContextual"/>
                    </w:rPr>
                  </w:pPr>
                  <w:r>
                    <w:rPr>
                      <w14:ligatures w14:val="standardContextual"/>
                    </w:rPr>
                    <w:t>生产设备</w:t>
                  </w:r>
                </w:p>
              </w:tc>
              <w:tc>
                <w:tcPr>
                  <w:tcW w:w="998" w:type="pct"/>
                  <w:vAlign w:val="center"/>
                </w:tcPr>
                <w:p w14:paraId="266D27A6">
                  <w:pPr>
                    <w:widowControl w:val="0"/>
                    <w:overflowPunct w:val="0"/>
                    <w:autoSpaceDE w:val="0"/>
                    <w:autoSpaceDN w:val="0"/>
                    <w:snapToGrid w:val="0"/>
                    <w:jc w:val="center"/>
                    <w:rPr>
                      <w14:ligatures w14:val="standardContextual"/>
                    </w:rPr>
                  </w:pPr>
                  <w:r>
                    <w:rPr>
                      <w:rFonts w:hint="eastAsia"/>
                      <w14:ligatures w14:val="standardContextual"/>
                    </w:rPr>
                    <w:t>各类生产设备及风机运行噪声</w:t>
                  </w:r>
                </w:p>
              </w:tc>
              <w:tc>
                <w:tcPr>
                  <w:tcW w:w="823" w:type="pct"/>
                  <w:vAlign w:val="center"/>
                </w:tcPr>
                <w:p w14:paraId="4496D123">
                  <w:pPr>
                    <w:widowControl w:val="0"/>
                    <w:overflowPunct w:val="0"/>
                    <w:autoSpaceDE w:val="0"/>
                    <w:autoSpaceDN w:val="0"/>
                    <w:snapToGrid w:val="0"/>
                    <w:jc w:val="center"/>
                    <w:rPr>
                      <w14:ligatures w14:val="standardContextual"/>
                    </w:rPr>
                  </w:pPr>
                  <w:r>
                    <w:rPr>
                      <w14:ligatures w14:val="standardContextual"/>
                    </w:rPr>
                    <w:t>等效A声级</w:t>
                  </w:r>
                </w:p>
              </w:tc>
              <w:tc>
                <w:tcPr>
                  <w:tcW w:w="447" w:type="pct"/>
                  <w:vAlign w:val="center"/>
                </w:tcPr>
                <w:p w14:paraId="68E210A4">
                  <w:pPr>
                    <w:widowControl w:val="0"/>
                    <w:overflowPunct w:val="0"/>
                    <w:autoSpaceDE w:val="0"/>
                    <w:autoSpaceDN w:val="0"/>
                    <w:snapToGrid w:val="0"/>
                    <w:jc w:val="center"/>
                    <w:rPr>
                      <w14:ligatures w14:val="standardContextual"/>
                    </w:rPr>
                  </w:pPr>
                  <w:r>
                    <w:rPr>
                      <w14:ligatures w14:val="standardContextual"/>
                    </w:rPr>
                    <w:t>间歇</w:t>
                  </w:r>
                </w:p>
              </w:tc>
              <w:tc>
                <w:tcPr>
                  <w:tcW w:w="1384" w:type="pct"/>
                  <w:vAlign w:val="center"/>
                </w:tcPr>
                <w:p w14:paraId="43A5571E">
                  <w:pPr>
                    <w:widowControl w:val="0"/>
                    <w:overflowPunct w:val="0"/>
                    <w:autoSpaceDE w:val="0"/>
                    <w:autoSpaceDN w:val="0"/>
                    <w:snapToGrid w:val="0"/>
                    <w:jc w:val="center"/>
                    <w:rPr>
                      <w14:ligatures w14:val="standardContextual"/>
                    </w:rPr>
                  </w:pPr>
                  <w:r>
                    <w:rPr>
                      <w:rFonts w:hint="eastAsia"/>
                      <w14:ligatures w14:val="standardContextual"/>
                    </w:rPr>
                    <w:t>置于厂房内，选用低噪声设备，采取基础减振、厂房隔声、设备定期维护和保养等措施</w:t>
                  </w:r>
                </w:p>
              </w:tc>
            </w:tr>
            <w:tr w14:paraId="4EF2EC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28" w:hRule="atLeast"/>
                <w:jc w:val="center"/>
              </w:trPr>
              <w:tc>
                <w:tcPr>
                  <w:tcW w:w="261" w:type="pct"/>
                  <w:vMerge w:val="restart"/>
                  <w:vAlign w:val="center"/>
                </w:tcPr>
                <w:p w14:paraId="1B16A563">
                  <w:pPr>
                    <w:widowControl w:val="0"/>
                    <w:overflowPunct w:val="0"/>
                    <w:autoSpaceDE w:val="0"/>
                    <w:autoSpaceDN w:val="0"/>
                    <w:snapToGrid w:val="0"/>
                    <w:jc w:val="center"/>
                    <w:rPr>
                      <w14:ligatures w14:val="standardContextual"/>
                    </w:rPr>
                  </w:pPr>
                  <w:r>
                    <w:rPr>
                      <w:rFonts w:hint="eastAsia"/>
                      <w14:ligatures w14:val="standardContextual"/>
                    </w:rPr>
                    <w:t>固废</w:t>
                  </w:r>
                </w:p>
              </w:tc>
              <w:tc>
                <w:tcPr>
                  <w:tcW w:w="347" w:type="pct"/>
                  <w:vAlign w:val="center"/>
                </w:tcPr>
                <w:p w14:paraId="49F97644">
                  <w:pPr>
                    <w:widowControl w:val="0"/>
                    <w:overflowPunct w:val="0"/>
                    <w:autoSpaceDE w:val="0"/>
                    <w:autoSpaceDN w:val="0"/>
                    <w:snapToGrid w:val="0"/>
                    <w:jc w:val="center"/>
                    <w:rPr>
                      <w14:ligatures w14:val="standardContextual"/>
                    </w:rPr>
                  </w:pPr>
                  <w:r>
                    <w:rPr>
                      <w:rFonts w:hint="eastAsia"/>
                      <w14:ligatures w14:val="standardContextual"/>
                    </w:rPr>
                    <w:t>S1</w:t>
                  </w:r>
                </w:p>
              </w:tc>
              <w:tc>
                <w:tcPr>
                  <w:tcW w:w="740" w:type="pct"/>
                  <w:vAlign w:val="center"/>
                </w:tcPr>
                <w:p w14:paraId="6421CB25">
                  <w:pPr>
                    <w:widowControl w:val="0"/>
                    <w:overflowPunct w:val="0"/>
                    <w:autoSpaceDE w:val="0"/>
                    <w:autoSpaceDN w:val="0"/>
                    <w:snapToGrid w:val="0"/>
                    <w:jc w:val="center"/>
                    <w:rPr>
                      <w14:ligatures w14:val="standardContextual"/>
                    </w:rPr>
                  </w:pPr>
                  <w:r>
                    <w:rPr>
                      <w:rFonts w:hint="eastAsia"/>
                      <w14:ligatures w14:val="standardContextual"/>
                    </w:rPr>
                    <w:t>废气处理</w:t>
                  </w:r>
                </w:p>
              </w:tc>
              <w:tc>
                <w:tcPr>
                  <w:tcW w:w="998" w:type="pct"/>
                  <w:vAlign w:val="center"/>
                </w:tcPr>
                <w:p w14:paraId="4ED37C3D">
                  <w:pPr>
                    <w:widowControl w:val="0"/>
                    <w:overflowPunct w:val="0"/>
                    <w:autoSpaceDE w:val="0"/>
                    <w:autoSpaceDN w:val="0"/>
                    <w:snapToGrid w:val="0"/>
                    <w:jc w:val="center"/>
                    <w:rPr>
                      <w14:ligatures w14:val="standardContextual"/>
                    </w:rPr>
                  </w:pPr>
                  <w:r>
                    <w:rPr>
                      <w:rFonts w:hint="eastAsia"/>
                      <w14:ligatures w14:val="standardContextual"/>
                    </w:rPr>
                    <w:t>除尘灰</w:t>
                  </w:r>
                </w:p>
              </w:tc>
              <w:tc>
                <w:tcPr>
                  <w:tcW w:w="823" w:type="pct"/>
                  <w:vAlign w:val="center"/>
                </w:tcPr>
                <w:p w14:paraId="22520F9F">
                  <w:pPr>
                    <w:widowControl w:val="0"/>
                    <w:overflowPunct w:val="0"/>
                    <w:autoSpaceDE w:val="0"/>
                    <w:autoSpaceDN w:val="0"/>
                    <w:snapToGrid w:val="0"/>
                    <w:jc w:val="center"/>
                    <w:rPr>
                      <w14:ligatures w14:val="standardContextual"/>
                    </w:rPr>
                  </w:pPr>
                  <w:r>
                    <w:rPr>
                      <w:rFonts w:hint="eastAsia"/>
                      <w14:ligatures w14:val="standardContextual"/>
                    </w:rPr>
                    <w:t>一般固废</w:t>
                  </w:r>
                </w:p>
              </w:tc>
              <w:tc>
                <w:tcPr>
                  <w:tcW w:w="447" w:type="pct"/>
                  <w:vAlign w:val="center"/>
                </w:tcPr>
                <w:p w14:paraId="412E09F9">
                  <w:pPr>
                    <w:widowControl w:val="0"/>
                    <w:overflowPunct w:val="0"/>
                    <w:autoSpaceDE w:val="0"/>
                    <w:autoSpaceDN w:val="0"/>
                    <w:snapToGrid w:val="0"/>
                    <w:jc w:val="center"/>
                    <w:rPr>
                      <w14:ligatures w14:val="standardContextual"/>
                    </w:rPr>
                  </w:pPr>
                  <w:r>
                    <w:rPr>
                      <w14:ligatures w14:val="standardContextual"/>
                    </w:rPr>
                    <w:t>间歇</w:t>
                  </w:r>
                </w:p>
              </w:tc>
              <w:tc>
                <w:tcPr>
                  <w:tcW w:w="1384" w:type="pct"/>
                  <w:vMerge w:val="restart"/>
                  <w:vAlign w:val="center"/>
                </w:tcPr>
                <w:p w14:paraId="1E416CAD">
                  <w:pPr>
                    <w:widowControl w:val="0"/>
                    <w:overflowPunct w:val="0"/>
                    <w:autoSpaceDE w:val="0"/>
                    <w:autoSpaceDN w:val="0"/>
                    <w:snapToGrid w:val="0"/>
                    <w:jc w:val="center"/>
                    <w:rPr>
                      <w14:ligatures w14:val="standardContextual"/>
                    </w:rPr>
                  </w:pPr>
                  <w:r>
                    <w:rPr>
                      <w:rFonts w:hint="eastAsia"/>
                      <w14:ligatures w14:val="standardContextual"/>
                    </w:rPr>
                    <w:t>外售综合利用</w:t>
                  </w:r>
                </w:p>
              </w:tc>
            </w:tr>
            <w:tr w14:paraId="5DFE8C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23" w:hRule="atLeast"/>
                <w:jc w:val="center"/>
              </w:trPr>
              <w:tc>
                <w:tcPr>
                  <w:tcW w:w="261" w:type="pct"/>
                  <w:vMerge w:val="continue"/>
                  <w:vAlign w:val="center"/>
                </w:tcPr>
                <w:p w14:paraId="165E4CD3">
                  <w:pPr>
                    <w:widowControl w:val="0"/>
                    <w:overflowPunct w:val="0"/>
                    <w:autoSpaceDE w:val="0"/>
                    <w:autoSpaceDN w:val="0"/>
                    <w:snapToGrid w:val="0"/>
                    <w:jc w:val="center"/>
                    <w:rPr>
                      <w14:ligatures w14:val="standardContextual"/>
                    </w:rPr>
                  </w:pPr>
                </w:p>
              </w:tc>
              <w:tc>
                <w:tcPr>
                  <w:tcW w:w="347" w:type="pct"/>
                  <w:vAlign w:val="center"/>
                </w:tcPr>
                <w:p w14:paraId="3AB5FF36">
                  <w:pPr>
                    <w:widowControl w:val="0"/>
                    <w:overflowPunct w:val="0"/>
                    <w:autoSpaceDE w:val="0"/>
                    <w:autoSpaceDN w:val="0"/>
                    <w:snapToGrid w:val="0"/>
                    <w:jc w:val="center"/>
                    <w:rPr>
                      <w14:ligatures w14:val="standardContextual"/>
                    </w:rPr>
                  </w:pPr>
                  <w:r>
                    <w:rPr>
                      <w:rFonts w:hint="eastAsia"/>
                      <w14:ligatures w14:val="standardContextual"/>
                    </w:rPr>
                    <w:t>S2</w:t>
                  </w:r>
                </w:p>
              </w:tc>
              <w:tc>
                <w:tcPr>
                  <w:tcW w:w="740" w:type="pct"/>
                  <w:vAlign w:val="center"/>
                </w:tcPr>
                <w:p w14:paraId="730C9C2C">
                  <w:pPr>
                    <w:widowControl w:val="0"/>
                    <w:overflowPunct w:val="0"/>
                    <w:autoSpaceDE w:val="0"/>
                    <w:autoSpaceDN w:val="0"/>
                    <w:snapToGrid w:val="0"/>
                    <w:jc w:val="center"/>
                    <w:rPr>
                      <w14:ligatures w14:val="standardContextual"/>
                    </w:rPr>
                  </w:pPr>
                  <w:r>
                    <w:rPr>
                      <w:rFonts w:hint="eastAsia"/>
                      <w14:ligatures w14:val="standardContextual"/>
                    </w:rPr>
                    <w:t>生物质锅炉</w:t>
                  </w:r>
                </w:p>
              </w:tc>
              <w:tc>
                <w:tcPr>
                  <w:tcW w:w="998" w:type="pct"/>
                  <w:vAlign w:val="center"/>
                </w:tcPr>
                <w:p w14:paraId="45D030DB">
                  <w:pPr>
                    <w:widowControl w:val="0"/>
                    <w:overflowPunct w:val="0"/>
                    <w:autoSpaceDE w:val="0"/>
                    <w:autoSpaceDN w:val="0"/>
                    <w:snapToGrid w:val="0"/>
                    <w:jc w:val="center"/>
                    <w:rPr>
                      <w14:ligatures w14:val="standardContextual"/>
                    </w:rPr>
                  </w:pPr>
                  <w:r>
                    <w:rPr>
                      <w:rFonts w:hint="eastAsia"/>
                      <w14:ligatures w14:val="standardContextual"/>
                    </w:rPr>
                    <w:t>炉渣</w:t>
                  </w:r>
                </w:p>
              </w:tc>
              <w:tc>
                <w:tcPr>
                  <w:tcW w:w="823" w:type="pct"/>
                  <w:vAlign w:val="center"/>
                </w:tcPr>
                <w:p w14:paraId="5EEF188C">
                  <w:pPr>
                    <w:widowControl w:val="0"/>
                    <w:overflowPunct w:val="0"/>
                    <w:autoSpaceDE w:val="0"/>
                    <w:autoSpaceDN w:val="0"/>
                    <w:snapToGrid w:val="0"/>
                    <w:jc w:val="center"/>
                    <w:rPr>
                      <w14:ligatures w14:val="standardContextual"/>
                    </w:rPr>
                  </w:pPr>
                  <w:r>
                    <w:rPr>
                      <w:rFonts w:hint="eastAsia"/>
                      <w14:ligatures w14:val="standardContextual"/>
                    </w:rPr>
                    <w:t>一般固废</w:t>
                  </w:r>
                </w:p>
              </w:tc>
              <w:tc>
                <w:tcPr>
                  <w:tcW w:w="447" w:type="pct"/>
                  <w:vAlign w:val="center"/>
                </w:tcPr>
                <w:p w14:paraId="158DAEA5">
                  <w:pPr>
                    <w:widowControl w:val="0"/>
                    <w:overflowPunct w:val="0"/>
                    <w:autoSpaceDE w:val="0"/>
                    <w:autoSpaceDN w:val="0"/>
                    <w:snapToGrid w:val="0"/>
                    <w:jc w:val="center"/>
                    <w:rPr>
                      <w14:ligatures w14:val="standardContextual"/>
                    </w:rPr>
                  </w:pPr>
                  <w:r>
                    <w:rPr>
                      <w14:ligatures w14:val="standardContextual"/>
                    </w:rPr>
                    <w:t>间歇</w:t>
                  </w:r>
                </w:p>
              </w:tc>
              <w:tc>
                <w:tcPr>
                  <w:tcW w:w="1384" w:type="pct"/>
                  <w:vMerge w:val="continue"/>
                  <w:vAlign w:val="center"/>
                </w:tcPr>
                <w:p w14:paraId="7771A61D">
                  <w:pPr>
                    <w:widowControl w:val="0"/>
                    <w:overflowPunct w:val="0"/>
                    <w:autoSpaceDE w:val="0"/>
                    <w:autoSpaceDN w:val="0"/>
                    <w:snapToGrid w:val="0"/>
                    <w:jc w:val="center"/>
                    <w:rPr>
                      <w14:ligatures w14:val="standardContextual"/>
                    </w:rPr>
                  </w:pPr>
                </w:p>
              </w:tc>
            </w:tr>
            <w:tr w14:paraId="1584FE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23" w:hRule="atLeast"/>
                <w:jc w:val="center"/>
              </w:trPr>
              <w:tc>
                <w:tcPr>
                  <w:tcW w:w="261" w:type="pct"/>
                  <w:vMerge w:val="continue"/>
                  <w:vAlign w:val="center"/>
                </w:tcPr>
                <w:p w14:paraId="5873915F">
                  <w:pPr>
                    <w:widowControl w:val="0"/>
                    <w:overflowPunct w:val="0"/>
                    <w:autoSpaceDE w:val="0"/>
                    <w:autoSpaceDN w:val="0"/>
                    <w:snapToGrid w:val="0"/>
                    <w:jc w:val="center"/>
                    <w:rPr>
                      <w14:ligatures w14:val="standardContextual"/>
                    </w:rPr>
                  </w:pPr>
                </w:p>
              </w:tc>
              <w:tc>
                <w:tcPr>
                  <w:tcW w:w="347" w:type="pct"/>
                  <w:vAlign w:val="center"/>
                </w:tcPr>
                <w:p w14:paraId="26AAA8AE">
                  <w:pPr>
                    <w:widowControl w:val="0"/>
                    <w:overflowPunct w:val="0"/>
                    <w:autoSpaceDE w:val="0"/>
                    <w:autoSpaceDN w:val="0"/>
                    <w:snapToGrid w:val="0"/>
                    <w:jc w:val="center"/>
                    <w:rPr>
                      <w14:ligatures w14:val="standardContextual"/>
                    </w:rPr>
                  </w:pPr>
                  <w:r>
                    <w:rPr>
                      <w:rFonts w:hint="eastAsia"/>
                      <w14:ligatures w14:val="standardContextual"/>
                    </w:rPr>
                    <w:t>S3</w:t>
                  </w:r>
                </w:p>
              </w:tc>
              <w:tc>
                <w:tcPr>
                  <w:tcW w:w="740" w:type="pct"/>
                  <w:vAlign w:val="center"/>
                </w:tcPr>
                <w:p w14:paraId="34003AC0">
                  <w:pPr>
                    <w:widowControl w:val="0"/>
                    <w:overflowPunct w:val="0"/>
                    <w:autoSpaceDE w:val="0"/>
                    <w:autoSpaceDN w:val="0"/>
                    <w:snapToGrid w:val="0"/>
                    <w:jc w:val="center"/>
                    <w:rPr>
                      <w14:ligatures w14:val="standardContextual"/>
                    </w:rPr>
                  </w:pPr>
                  <w:r>
                    <w:rPr>
                      <w:rFonts w:hint="eastAsia"/>
                      <w14:ligatures w14:val="standardContextual"/>
                    </w:rPr>
                    <w:t>软水制备</w:t>
                  </w:r>
                </w:p>
              </w:tc>
              <w:tc>
                <w:tcPr>
                  <w:tcW w:w="998" w:type="pct"/>
                  <w:vAlign w:val="center"/>
                </w:tcPr>
                <w:p w14:paraId="649CD0FC">
                  <w:pPr>
                    <w:widowControl w:val="0"/>
                    <w:overflowPunct w:val="0"/>
                    <w:autoSpaceDE w:val="0"/>
                    <w:autoSpaceDN w:val="0"/>
                    <w:snapToGrid w:val="0"/>
                    <w:jc w:val="center"/>
                    <w:rPr>
                      <w14:ligatures w14:val="standardContextual"/>
                    </w:rPr>
                  </w:pPr>
                  <w:r>
                    <w:rPr>
                      <w:rFonts w:hint="eastAsia"/>
                      <w14:ligatures w14:val="standardContextual"/>
                    </w:rPr>
                    <w:t>废离子交换树脂</w:t>
                  </w:r>
                </w:p>
              </w:tc>
              <w:tc>
                <w:tcPr>
                  <w:tcW w:w="823" w:type="pct"/>
                  <w:vAlign w:val="center"/>
                </w:tcPr>
                <w:p w14:paraId="6F0A4DD4">
                  <w:pPr>
                    <w:widowControl w:val="0"/>
                    <w:overflowPunct w:val="0"/>
                    <w:autoSpaceDE w:val="0"/>
                    <w:autoSpaceDN w:val="0"/>
                    <w:snapToGrid w:val="0"/>
                    <w:jc w:val="center"/>
                    <w:rPr>
                      <w14:ligatures w14:val="standardContextual"/>
                    </w:rPr>
                  </w:pPr>
                  <w:bookmarkStart w:id="131" w:name="OLE_LINK267"/>
                  <w:r>
                    <w:rPr>
                      <w:rFonts w:hint="eastAsia"/>
                      <w14:ligatures w14:val="standardContextual"/>
                    </w:rPr>
                    <w:t>一般固废</w:t>
                  </w:r>
                  <w:bookmarkEnd w:id="131"/>
                </w:p>
              </w:tc>
              <w:tc>
                <w:tcPr>
                  <w:tcW w:w="447" w:type="pct"/>
                  <w:vAlign w:val="center"/>
                </w:tcPr>
                <w:p w14:paraId="7958A8A3">
                  <w:pPr>
                    <w:widowControl w:val="0"/>
                    <w:overflowPunct w:val="0"/>
                    <w:autoSpaceDE w:val="0"/>
                    <w:autoSpaceDN w:val="0"/>
                    <w:snapToGrid w:val="0"/>
                    <w:jc w:val="center"/>
                    <w:rPr>
                      <w14:ligatures w14:val="standardContextual"/>
                    </w:rPr>
                  </w:pPr>
                  <w:r>
                    <w:rPr>
                      <w14:ligatures w14:val="standardContextual"/>
                    </w:rPr>
                    <w:t>间歇</w:t>
                  </w:r>
                </w:p>
              </w:tc>
              <w:tc>
                <w:tcPr>
                  <w:tcW w:w="1384" w:type="pct"/>
                  <w:vMerge w:val="continue"/>
                  <w:vAlign w:val="center"/>
                </w:tcPr>
                <w:p w14:paraId="594A6156">
                  <w:pPr>
                    <w:widowControl w:val="0"/>
                    <w:overflowPunct w:val="0"/>
                    <w:autoSpaceDE w:val="0"/>
                    <w:autoSpaceDN w:val="0"/>
                    <w:snapToGrid w:val="0"/>
                    <w:jc w:val="center"/>
                    <w:rPr>
                      <w14:ligatures w14:val="standardContextual"/>
                    </w:rPr>
                  </w:pPr>
                </w:p>
              </w:tc>
            </w:tr>
            <w:tr w14:paraId="49262E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23" w:hRule="atLeast"/>
                <w:jc w:val="center"/>
              </w:trPr>
              <w:tc>
                <w:tcPr>
                  <w:tcW w:w="261" w:type="pct"/>
                  <w:vMerge w:val="continue"/>
                  <w:vAlign w:val="center"/>
                </w:tcPr>
                <w:p w14:paraId="04B8B57B">
                  <w:pPr>
                    <w:widowControl w:val="0"/>
                    <w:overflowPunct w:val="0"/>
                    <w:autoSpaceDE w:val="0"/>
                    <w:autoSpaceDN w:val="0"/>
                    <w:snapToGrid w:val="0"/>
                    <w:jc w:val="center"/>
                    <w:rPr>
                      <w14:ligatures w14:val="standardContextual"/>
                    </w:rPr>
                  </w:pPr>
                </w:p>
              </w:tc>
              <w:tc>
                <w:tcPr>
                  <w:tcW w:w="347" w:type="pct"/>
                  <w:vAlign w:val="center"/>
                </w:tcPr>
                <w:p w14:paraId="3D16EF26">
                  <w:pPr>
                    <w:widowControl w:val="0"/>
                    <w:overflowPunct w:val="0"/>
                    <w:autoSpaceDE w:val="0"/>
                    <w:autoSpaceDN w:val="0"/>
                    <w:snapToGrid w:val="0"/>
                    <w:jc w:val="center"/>
                    <w:rPr>
                      <w14:ligatures w14:val="standardContextual"/>
                    </w:rPr>
                  </w:pPr>
                  <w:r>
                    <w:rPr>
                      <w:rFonts w:hint="eastAsia"/>
                      <w14:ligatures w14:val="standardContextual"/>
                    </w:rPr>
                    <w:t>S4</w:t>
                  </w:r>
                </w:p>
              </w:tc>
              <w:tc>
                <w:tcPr>
                  <w:tcW w:w="740" w:type="pct"/>
                  <w:vAlign w:val="center"/>
                </w:tcPr>
                <w:p w14:paraId="77E4AA3E">
                  <w:pPr>
                    <w:widowControl w:val="0"/>
                    <w:overflowPunct w:val="0"/>
                    <w:autoSpaceDE w:val="0"/>
                    <w:autoSpaceDN w:val="0"/>
                    <w:snapToGrid w:val="0"/>
                    <w:jc w:val="center"/>
                    <w:rPr>
                      <w14:ligatures w14:val="standardContextual"/>
                    </w:rPr>
                  </w:pPr>
                  <w:r>
                    <w:rPr>
                      <w:rFonts w:hint="eastAsia"/>
                      <w14:ligatures w14:val="standardContextual"/>
                    </w:rPr>
                    <w:t>废气处理</w:t>
                  </w:r>
                </w:p>
              </w:tc>
              <w:tc>
                <w:tcPr>
                  <w:tcW w:w="998" w:type="pct"/>
                  <w:vAlign w:val="center"/>
                </w:tcPr>
                <w:p w14:paraId="33E158E0">
                  <w:pPr>
                    <w:widowControl w:val="0"/>
                    <w:overflowPunct w:val="0"/>
                    <w:autoSpaceDE w:val="0"/>
                    <w:autoSpaceDN w:val="0"/>
                    <w:snapToGrid w:val="0"/>
                    <w:jc w:val="center"/>
                    <w:rPr>
                      <w14:ligatures w14:val="standardContextual"/>
                    </w:rPr>
                  </w:pPr>
                  <w:bookmarkStart w:id="132" w:name="OLE_LINK207"/>
                  <w:r>
                    <w:rPr>
                      <w:rFonts w:hint="eastAsia"/>
                      <w14:ligatures w14:val="standardContextual"/>
                    </w:rPr>
                    <w:t>废</w:t>
                  </w:r>
                  <w:bookmarkEnd w:id="132"/>
                  <w:r>
                    <w:rPr>
                      <w:rFonts w:hint="eastAsia"/>
                      <w14:ligatures w14:val="standardContextual"/>
                    </w:rPr>
                    <w:t>布袋</w:t>
                  </w:r>
                </w:p>
              </w:tc>
              <w:tc>
                <w:tcPr>
                  <w:tcW w:w="823" w:type="pct"/>
                  <w:vAlign w:val="center"/>
                </w:tcPr>
                <w:p w14:paraId="671B5B92">
                  <w:pPr>
                    <w:widowControl w:val="0"/>
                    <w:overflowPunct w:val="0"/>
                    <w:autoSpaceDE w:val="0"/>
                    <w:autoSpaceDN w:val="0"/>
                    <w:snapToGrid w:val="0"/>
                    <w:jc w:val="center"/>
                    <w:rPr>
                      <w14:ligatures w14:val="standardContextual"/>
                    </w:rPr>
                  </w:pPr>
                  <w:r>
                    <w:rPr>
                      <w:rFonts w:hint="eastAsia"/>
                      <w14:ligatures w14:val="standardContextual"/>
                    </w:rPr>
                    <w:t>一般固废</w:t>
                  </w:r>
                </w:p>
              </w:tc>
              <w:tc>
                <w:tcPr>
                  <w:tcW w:w="447" w:type="pct"/>
                  <w:vAlign w:val="center"/>
                </w:tcPr>
                <w:p w14:paraId="1F94D3D9">
                  <w:pPr>
                    <w:widowControl w:val="0"/>
                    <w:overflowPunct w:val="0"/>
                    <w:autoSpaceDE w:val="0"/>
                    <w:autoSpaceDN w:val="0"/>
                    <w:snapToGrid w:val="0"/>
                    <w:jc w:val="center"/>
                    <w:rPr>
                      <w14:ligatures w14:val="standardContextual"/>
                    </w:rPr>
                  </w:pPr>
                  <w:r>
                    <w:rPr>
                      <w14:ligatures w14:val="standardContextual"/>
                    </w:rPr>
                    <w:t>间歇</w:t>
                  </w:r>
                </w:p>
              </w:tc>
              <w:tc>
                <w:tcPr>
                  <w:tcW w:w="1384" w:type="pct"/>
                  <w:vMerge w:val="continue"/>
                  <w:vAlign w:val="center"/>
                </w:tcPr>
                <w:p w14:paraId="2B8FDD36">
                  <w:pPr>
                    <w:widowControl w:val="0"/>
                    <w:overflowPunct w:val="0"/>
                    <w:autoSpaceDE w:val="0"/>
                    <w:autoSpaceDN w:val="0"/>
                    <w:snapToGrid w:val="0"/>
                    <w:jc w:val="center"/>
                    <w:rPr>
                      <w14:ligatures w14:val="standardContextual"/>
                    </w:rPr>
                  </w:pPr>
                </w:p>
              </w:tc>
            </w:tr>
            <w:tr w14:paraId="632901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23" w:hRule="atLeast"/>
                <w:jc w:val="center"/>
              </w:trPr>
              <w:tc>
                <w:tcPr>
                  <w:tcW w:w="261" w:type="pct"/>
                  <w:vMerge w:val="continue"/>
                  <w:vAlign w:val="center"/>
                </w:tcPr>
                <w:p w14:paraId="411029B2">
                  <w:pPr>
                    <w:widowControl w:val="0"/>
                    <w:overflowPunct w:val="0"/>
                    <w:autoSpaceDE w:val="0"/>
                    <w:autoSpaceDN w:val="0"/>
                    <w:snapToGrid w:val="0"/>
                    <w:jc w:val="center"/>
                    <w:rPr>
                      <w14:ligatures w14:val="standardContextual"/>
                    </w:rPr>
                  </w:pPr>
                </w:p>
              </w:tc>
              <w:tc>
                <w:tcPr>
                  <w:tcW w:w="347" w:type="pct"/>
                  <w:vAlign w:val="center"/>
                </w:tcPr>
                <w:p w14:paraId="241C6B6E">
                  <w:pPr>
                    <w:widowControl w:val="0"/>
                    <w:overflowPunct w:val="0"/>
                    <w:autoSpaceDE w:val="0"/>
                    <w:autoSpaceDN w:val="0"/>
                    <w:snapToGrid w:val="0"/>
                    <w:jc w:val="center"/>
                    <w:rPr>
                      <w14:ligatures w14:val="standardContextual"/>
                    </w:rPr>
                  </w:pPr>
                  <w:r>
                    <w:rPr>
                      <w:rFonts w:hint="eastAsia"/>
                      <w14:ligatures w14:val="standardContextual"/>
                    </w:rPr>
                    <w:t>S5</w:t>
                  </w:r>
                </w:p>
              </w:tc>
              <w:tc>
                <w:tcPr>
                  <w:tcW w:w="740" w:type="pct"/>
                  <w:vAlign w:val="center"/>
                </w:tcPr>
                <w:p w14:paraId="715225A9">
                  <w:pPr>
                    <w:widowControl w:val="0"/>
                    <w:overflowPunct w:val="0"/>
                    <w:autoSpaceDE w:val="0"/>
                    <w:autoSpaceDN w:val="0"/>
                    <w:snapToGrid w:val="0"/>
                    <w:jc w:val="center"/>
                    <w:rPr>
                      <w14:ligatures w14:val="standardContextual"/>
                    </w:rPr>
                  </w:pPr>
                  <w:r>
                    <w:rPr>
                      <w:rFonts w:hint="eastAsia"/>
                      <w14:ligatures w14:val="standardContextual"/>
                    </w:rPr>
                    <w:t>设备维护</w:t>
                  </w:r>
                </w:p>
              </w:tc>
              <w:tc>
                <w:tcPr>
                  <w:tcW w:w="998" w:type="pct"/>
                  <w:vAlign w:val="center"/>
                </w:tcPr>
                <w:p w14:paraId="777BC844">
                  <w:pPr>
                    <w:widowControl w:val="0"/>
                    <w:overflowPunct w:val="0"/>
                    <w:autoSpaceDE w:val="0"/>
                    <w:autoSpaceDN w:val="0"/>
                    <w:snapToGrid w:val="0"/>
                    <w:jc w:val="center"/>
                    <w:rPr>
                      <w14:ligatures w14:val="standardContextual"/>
                    </w:rPr>
                  </w:pPr>
                  <w:bookmarkStart w:id="133" w:name="OLE_LINK105"/>
                  <w:r>
                    <w:rPr>
                      <w:rFonts w:hint="eastAsia"/>
                      <w14:ligatures w14:val="standardContextual"/>
                    </w:rPr>
                    <w:t>废润滑油及废油桶</w:t>
                  </w:r>
                  <w:bookmarkEnd w:id="133"/>
                </w:p>
              </w:tc>
              <w:tc>
                <w:tcPr>
                  <w:tcW w:w="823" w:type="pct"/>
                  <w:vAlign w:val="center"/>
                </w:tcPr>
                <w:p w14:paraId="62BECCEA">
                  <w:pPr>
                    <w:widowControl w:val="0"/>
                    <w:overflowPunct w:val="0"/>
                    <w:autoSpaceDE w:val="0"/>
                    <w:autoSpaceDN w:val="0"/>
                    <w:snapToGrid w:val="0"/>
                    <w:jc w:val="center"/>
                    <w:rPr>
                      <w14:ligatures w14:val="standardContextual"/>
                    </w:rPr>
                  </w:pPr>
                  <w:r>
                    <w:rPr>
                      <w:rFonts w:hint="eastAsia"/>
                      <w14:ligatures w14:val="standardContextual"/>
                    </w:rPr>
                    <w:t>危险废物</w:t>
                  </w:r>
                </w:p>
              </w:tc>
              <w:tc>
                <w:tcPr>
                  <w:tcW w:w="447" w:type="pct"/>
                  <w:vAlign w:val="center"/>
                </w:tcPr>
                <w:p w14:paraId="4CC822B8">
                  <w:pPr>
                    <w:widowControl w:val="0"/>
                    <w:overflowPunct w:val="0"/>
                    <w:autoSpaceDE w:val="0"/>
                    <w:autoSpaceDN w:val="0"/>
                    <w:snapToGrid w:val="0"/>
                    <w:jc w:val="center"/>
                    <w:rPr>
                      <w14:ligatures w14:val="standardContextual"/>
                    </w:rPr>
                  </w:pPr>
                  <w:bookmarkStart w:id="134" w:name="OLE_LINK78"/>
                  <w:r>
                    <w:rPr>
                      <w14:ligatures w14:val="standardContextual"/>
                    </w:rPr>
                    <w:t>间歇</w:t>
                  </w:r>
                  <w:bookmarkEnd w:id="134"/>
                </w:p>
              </w:tc>
              <w:tc>
                <w:tcPr>
                  <w:tcW w:w="1384" w:type="pct"/>
                  <w:vMerge w:val="restart"/>
                  <w:vAlign w:val="center"/>
                </w:tcPr>
                <w:p w14:paraId="34E8D465">
                  <w:pPr>
                    <w:widowControl w:val="0"/>
                    <w:overflowPunct w:val="0"/>
                    <w:autoSpaceDE w:val="0"/>
                    <w:autoSpaceDN w:val="0"/>
                    <w:snapToGrid w:val="0"/>
                    <w:jc w:val="center"/>
                    <w:rPr>
                      <w14:ligatures w14:val="standardContextual"/>
                    </w:rPr>
                  </w:pPr>
                  <w:r>
                    <w:rPr>
                      <w:rFonts w:hint="eastAsia"/>
                      <w14:ligatures w14:val="standardContextual"/>
                    </w:rPr>
                    <w:t>委托有资质单位处置</w:t>
                  </w:r>
                </w:p>
              </w:tc>
            </w:tr>
            <w:tr w14:paraId="27226B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23" w:hRule="atLeast"/>
                <w:jc w:val="center"/>
              </w:trPr>
              <w:tc>
                <w:tcPr>
                  <w:tcW w:w="261" w:type="pct"/>
                  <w:vMerge w:val="continue"/>
                  <w:vAlign w:val="center"/>
                </w:tcPr>
                <w:p w14:paraId="12579B83">
                  <w:pPr>
                    <w:widowControl w:val="0"/>
                    <w:overflowPunct w:val="0"/>
                    <w:autoSpaceDE w:val="0"/>
                    <w:autoSpaceDN w:val="0"/>
                    <w:snapToGrid w:val="0"/>
                    <w:jc w:val="center"/>
                    <w:rPr>
                      <w14:ligatures w14:val="standardContextual"/>
                    </w:rPr>
                  </w:pPr>
                </w:p>
              </w:tc>
              <w:tc>
                <w:tcPr>
                  <w:tcW w:w="347" w:type="pct"/>
                  <w:vAlign w:val="center"/>
                </w:tcPr>
                <w:p w14:paraId="45F5A304">
                  <w:pPr>
                    <w:widowControl w:val="0"/>
                    <w:overflowPunct w:val="0"/>
                    <w:autoSpaceDE w:val="0"/>
                    <w:autoSpaceDN w:val="0"/>
                    <w:snapToGrid w:val="0"/>
                    <w:jc w:val="center"/>
                    <w:rPr>
                      <w:color w:val="auto"/>
                      <w:u w:val="single"/>
                      <w14:ligatures w14:val="standardContextual"/>
                    </w:rPr>
                  </w:pPr>
                  <w:r>
                    <w:rPr>
                      <w:rFonts w:hint="eastAsia"/>
                      <w:color w:val="auto"/>
                      <w:u w:val="single"/>
                      <w14:ligatures w14:val="standardContextual"/>
                    </w:rPr>
                    <w:t>S6</w:t>
                  </w:r>
                </w:p>
              </w:tc>
              <w:tc>
                <w:tcPr>
                  <w:tcW w:w="740" w:type="pct"/>
                  <w:vAlign w:val="center"/>
                </w:tcPr>
                <w:p w14:paraId="7B7BB3A8">
                  <w:pPr>
                    <w:widowControl w:val="0"/>
                    <w:overflowPunct w:val="0"/>
                    <w:autoSpaceDE w:val="0"/>
                    <w:autoSpaceDN w:val="0"/>
                    <w:snapToGrid w:val="0"/>
                    <w:jc w:val="center"/>
                    <w:rPr>
                      <w:color w:val="auto"/>
                      <w:u w:val="single"/>
                      <w14:ligatures w14:val="standardContextual"/>
                    </w:rPr>
                  </w:pPr>
                  <w:r>
                    <w:rPr>
                      <w:rFonts w:hint="eastAsia"/>
                      <w:color w:val="auto"/>
                      <w:u w:val="single"/>
                      <w14:ligatures w14:val="standardContextual"/>
                    </w:rPr>
                    <w:t>设备维护</w:t>
                  </w:r>
                </w:p>
              </w:tc>
              <w:tc>
                <w:tcPr>
                  <w:tcW w:w="998" w:type="pct"/>
                  <w:vAlign w:val="center"/>
                </w:tcPr>
                <w:p w14:paraId="53A820C0">
                  <w:pPr>
                    <w:widowControl w:val="0"/>
                    <w:overflowPunct w:val="0"/>
                    <w:autoSpaceDE w:val="0"/>
                    <w:autoSpaceDN w:val="0"/>
                    <w:snapToGrid w:val="0"/>
                    <w:jc w:val="center"/>
                    <w:rPr>
                      <w:color w:val="auto"/>
                      <w:u w:val="single"/>
                      <w14:ligatures w14:val="standardContextual"/>
                    </w:rPr>
                  </w:pPr>
                  <w:r>
                    <w:rPr>
                      <w:rFonts w:hint="eastAsia"/>
                      <w:color w:val="auto"/>
                      <w:u w:val="single"/>
                      <w14:ligatures w14:val="standardContextual"/>
                    </w:rPr>
                    <w:t>废含油抹布</w:t>
                  </w:r>
                </w:p>
              </w:tc>
              <w:tc>
                <w:tcPr>
                  <w:tcW w:w="823" w:type="pct"/>
                  <w:vAlign w:val="center"/>
                </w:tcPr>
                <w:p w14:paraId="73FD552A">
                  <w:pPr>
                    <w:widowControl w:val="0"/>
                    <w:overflowPunct w:val="0"/>
                    <w:autoSpaceDE w:val="0"/>
                    <w:autoSpaceDN w:val="0"/>
                    <w:snapToGrid w:val="0"/>
                    <w:jc w:val="center"/>
                    <w:rPr>
                      <w:color w:val="auto"/>
                      <w:u w:val="single"/>
                      <w14:ligatures w14:val="standardContextual"/>
                    </w:rPr>
                  </w:pPr>
                  <w:r>
                    <w:rPr>
                      <w:rFonts w:hint="eastAsia"/>
                      <w:color w:val="auto"/>
                      <w:u w:val="single"/>
                      <w14:ligatures w14:val="standardContextual"/>
                    </w:rPr>
                    <w:t>危险废物</w:t>
                  </w:r>
                </w:p>
              </w:tc>
              <w:tc>
                <w:tcPr>
                  <w:tcW w:w="447" w:type="pct"/>
                  <w:vAlign w:val="center"/>
                </w:tcPr>
                <w:p w14:paraId="58B93048">
                  <w:pPr>
                    <w:widowControl w:val="0"/>
                    <w:overflowPunct w:val="0"/>
                    <w:autoSpaceDE w:val="0"/>
                    <w:autoSpaceDN w:val="0"/>
                    <w:snapToGrid w:val="0"/>
                    <w:jc w:val="center"/>
                    <w:rPr>
                      <w:color w:val="auto"/>
                      <w:u w:val="single"/>
                      <w14:ligatures w14:val="standardContextual"/>
                    </w:rPr>
                  </w:pPr>
                  <w:r>
                    <w:rPr>
                      <w:color w:val="auto"/>
                      <w:u w:val="single"/>
                      <w14:ligatures w14:val="standardContextual"/>
                    </w:rPr>
                    <w:t>间歇</w:t>
                  </w:r>
                </w:p>
              </w:tc>
              <w:tc>
                <w:tcPr>
                  <w:tcW w:w="1384" w:type="pct"/>
                  <w:vMerge w:val="continue"/>
                  <w:vAlign w:val="center"/>
                </w:tcPr>
                <w:p w14:paraId="537E1618">
                  <w:pPr>
                    <w:widowControl w:val="0"/>
                    <w:overflowPunct w:val="0"/>
                    <w:autoSpaceDE w:val="0"/>
                    <w:autoSpaceDN w:val="0"/>
                    <w:snapToGrid w:val="0"/>
                    <w:jc w:val="center"/>
                    <w:rPr>
                      <w14:ligatures w14:val="standardContextual"/>
                    </w:rPr>
                  </w:pPr>
                </w:p>
              </w:tc>
            </w:tr>
            <w:tr w14:paraId="68EDE4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23" w:hRule="atLeast"/>
                <w:jc w:val="center"/>
              </w:trPr>
              <w:tc>
                <w:tcPr>
                  <w:tcW w:w="261" w:type="pct"/>
                  <w:vMerge w:val="continue"/>
                  <w:vAlign w:val="center"/>
                </w:tcPr>
                <w:p w14:paraId="556350ED">
                  <w:pPr>
                    <w:widowControl w:val="0"/>
                    <w:overflowPunct w:val="0"/>
                    <w:autoSpaceDE w:val="0"/>
                    <w:autoSpaceDN w:val="0"/>
                    <w:snapToGrid w:val="0"/>
                    <w:jc w:val="center"/>
                    <w:rPr>
                      <w14:ligatures w14:val="standardContextual"/>
                    </w:rPr>
                  </w:pPr>
                </w:p>
              </w:tc>
              <w:tc>
                <w:tcPr>
                  <w:tcW w:w="347" w:type="pct"/>
                  <w:vAlign w:val="center"/>
                </w:tcPr>
                <w:p w14:paraId="5E247D38">
                  <w:pPr>
                    <w:widowControl w:val="0"/>
                    <w:overflowPunct w:val="0"/>
                    <w:autoSpaceDE w:val="0"/>
                    <w:autoSpaceDN w:val="0"/>
                    <w:snapToGrid w:val="0"/>
                    <w:jc w:val="center"/>
                    <w:rPr>
                      <w14:ligatures w14:val="standardContextual"/>
                    </w:rPr>
                  </w:pPr>
                  <w:r>
                    <w:rPr>
                      <w:rFonts w:hint="eastAsia"/>
                      <w14:ligatures w14:val="standardContextual"/>
                    </w:rPr>
                    <w:t>S7</w:t>
                  </w:r>
                </w:p>
              </w:tc>
              <w:tc>
                <w:tcPr>
                  <w:tcW w:w="740" w:type="pct"/>
                  <w:vAlign w:val="center"/>
                </w:tcPr>
                <w:p w14:paraId="38E4C77A">
                  <w:pPr>
                    <w:widowControl w:val="0"/>
                    <w:overflowPunct w:val="0"/>
                    <w:autoSpaceDE w:val="0"/>
                    <w:autoSpaceDN w:val="0"/>
                    <w:snapToGrid w:val="0"/>
                    <w:jc w:val="center"/>
                    <w:rPr>
                      <w14:ligatures w14:val="standardContextual"/>
                    </w:rPr>
                  </w:pPr>
                  <w:r>
                    <w:rPr>
                      <w:rFonts w:hint="eastAsia"/>
                      <w14:ligatures w14:val="standardContextual"/>
                    </w:rPr>
                    <w:t>职工生活</w:t>
                  </w:r>
                </w:p>
              </w:tc>
              <w:tc>
                <w:tcPr>
                  <w:tcW w:w="998" w:type="pct"/>
                  <w:vAlign w:val="center"/>
                </w:tcPr>
                <w:p w14:paraId="3BC57002">
                  <w:pPr>
                    <w:widowControl w:val="0"/>
                    <w:overflowPunct w:val="0"/>
                    <w:autoSpaceDE w:val="0"/>
                    <w:autoSpaceDN w:val="0"/>
                    <w:snapToGrid w:val="0"/>
                    <w:jc w:val="center"/>
                    <w:rPr>
                      <w14:ligatures w14:val="standardContextual"/>
                    </w:rPr>
                  </w:pPr>
                  <w:r>
                    <w:rPr>
                      <w:rFonts w:hint="eastAsia"/>
                      <w14:ligatures w14:val="standardContextual"/>
                    </w:rPr>
                    <w:t>生活垃圾</w:t>
                  </w:r>
                </w:p>
              </w:tc>
              <w:tc>
                <w:tcPr>
                  <w:tcW w:w="823" w:type="pct"/>
                  <w:vAlign w:val="center"/>
                </w:tcPr>
                <w:p w14:paraId="2066CAA7">
                  <w:pPr>
                    <w:widowControl w:val="0"/>
                    <w:overflowPunct w:val="0"/>
                    <w:autoSpaceDE w:val="0"/>
                    <w:autoSpaceDN w:val="0"/>
                    <w:snapToGrid w:val="0"/>
                    <w:jc w:val="center"/>
                    <w:rPr>
                      <w14:ligatures w14:val="standardContextual"/>
                    </w:rPr>
                  </w:pPr>
                  <w:r>
                    <w:rPr>
                      <w:rFonts w:hint="eastAsia"/>
                      <w14:ligatures w14:val="standardContextual"/>
                    </w:rPr>
                    <w:t>/</w:t>
                  </w:r>
                </w:p>
              </w:tc>
              <w:tc>
                <w:tcPr>
                  <w:tcW w:w="447" w:type="pct"/>
                  <w:vAlign w:val="center"/>
                </w:tcPr>
                <w:p w14:paraId="22793EEA">
                  <w:pPr>
                    <w:widowControl w:val="0"/>
                    <w:overflowPunct w:val="0"/>
                    <w:autoSpaceDE w:val="0"/>
                    <w:autoSpaceDN w:val="0"/>
                    <w:snapToGrid w:val="0"/>
                    <w:jc w:val="center"/>
                    <w:rPr>
                      <w14:ligatures w14:val="standardContextual"/>
                    </w:rPr>
                  </w:pPr>
                  <w:r>
                    <w:rPr>
                      <w14:ligatures w14:val="standardContextual"/>
                    </w:rPr>
                    <w:t>间歇</w:t>
                  </w:r>
                </w:p>
              </w:tc>
              <w:tc>
                <w:tcPr>
                  <w:tcW w:w="1384" w:type="pct"/>
                  <w:vAlign w:val="center"/>
                </w:tcPr>
                <w:p w14:paraId="206F4D1C">
                  <w:pPr>
                    <w:widowControl w:val="0"/>
                    <w:overflowPunct w:val="0"/>
                    <w:autoSpaceDE w:val="0"/>
                    <w:autoSpaceDN w:val="0"/>
                    <w:snapToGrid w:val="0"/>
                    <w:jc w:val="center"/>
                    <w:rPr>
                      <w14:ligatures w14:val="standardContextual"/>
                    </w:rPr>
                  </w:pPr>
                  <w:bookmarkStart w:id="135" w:name="OLE_LINK98"/>
                  <w:r>
                    <w:rPr>
                      <w:rFonts w:hint="eastAsia"/>
                      <w14:ligatures w14:val="standardContextual"/>
                    </w:rPr>
                    <w:t>交由环卫部门处置</w:t>
                  </w:r>
                  <w:bookmarkEnd w:id="135"/>
                </w:p>
              </w:tc>
            </w:tr>
          </w:tbl>
          <w:p w14:paraId="01A639AD">
            <w:pPr>
              <w:pStyle w:val="3"/>
              <w:ind w:firstLine="480"/>
            </w:pPr>
          </w:p>
          <w:p w14:paraId="5D8866CA">
            <w:pPr>
              <w:pStyle w:val="3"/>
              <w:ind w:firstLine="480"/>
            </w:pPr>
          </w:p>
        </w:tc>
      </w:tr>
      <w:tr w14:paraId="7A83E9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5" w:hRule="atLeast"/>
          <w:jc w:val="center"/>
        </w:trPr>
        <w:tc>
          <w:tcPr>
            <w:tcW w:w="258" w:type="pct"/>
            <w:vAlign w:val="center"/>
          </w:tcPr>
          <w:p w14:paraId="2B57F6E4">
            <w:pPr>
              <w:pStyle w:val="18"/>
              <w:rPr>
                <w:rFonts w:hint="eastAsia"/>
              </w:rPr>
            </w:pPr>
            <w:bookmarkStart w:id="136" w:name="与项目有关的原有环境污染问题"/>
            <w:bookmarkStart w:id="137" w:name="_Toc175609271"/>
            <w:r>
              <w:rPr>
                <w:rFonts w:hint="eastAsia"/>
              </w:rPr>
              <w:t>与项目有关的原有环境污染问题</w:t>
            </w:r>
            <w:bookmarkEnd w:id="136"/>
            <w:bookmarkEnd w:id="137"/>
          </w:p>
        </w:tc>
        <w:tc>
          <w:tcPr>
            <w:tcW w:w="4742" w:type="pct"/>
            <w:vAlign w:val="center"/>
          </w:tcPr>
          <w:p w14:paraId="52EB9A8E">
            <w:pPr>
              <w:pStyle w:val="3"/>
              <w:ind w:firstLine="480"/>
              <w:rPr>
                <w:color w:val="auto"/>
                <w:u w:val="single"/>
              </w:rPr>
            </w:pPr>
            <w:bookmarkStart w:id="138" w:name="OLE_LINK19"/>
            <w:bookmarkStart w:id="139" w:name="OLE_LINK18"/>
            <w:r>
              <w:rPr>
                <w:rFonts w:hint="eastAsia"/>
                <w:color w:val="auto"/>
                <w:u w:val="single"/>
              </w:rPr>
              <w:t>本项目</w:t>
            </w:r>
            <w:bookmarkEnd w:id="138"/>
            <w:r>
              <w:rPr>
                <w:rFonts w:hint="eastAsia"/>
                <w:color w:val="auto"/>
                <w:u w:val="single"/>
              </w:rPr>
              <w:t>属于技术改造项目，用地性质属于工业用地，现有工程为“马来西亚中小企业集聚区标准厂房及配套设施建设项目”，整体工程分三期建设，一期建设内容为“8栋厂房（1#~8#）、1个门卫室、1个配电房”，二期建设内容为“2栋厂房，1栋门卫室，1处垃圾站”，三期首开区建设内容为“新建4栋标准厂房（15#~18#）、配套设施及室外工程”，三期次开区建设内容为“4栋标准厂房、配套设施及室外工程”。</w:t>
            </w:r>
            <w:bookmarkStart w:id="140" w:name="OLE_LINK29"/>
            <w:r>
              <w:rPr>
                <w:rFonts w:hint="eastAsia"/>
                <w:color w:val="auto"/>
                <w:u w:val="single"/>
              </w:rPr>
              <w:t>现有工程</w:t>
            </w:r>
            <w:bookmarkStart w:id="141" w:name="OLE_LINK35"/>
            <w:r>
              <w:rPr>
                <w:rFonts w:hint="eastAsia"/>
                <w:color w:val="auto"/>
                <w:u w:val="single"/>
              </w:rPr>
              <w:t>初步设计批复见附件8-1~附件8-4。</w:t>
            </w:r>
          </w:p>
          <w:bookmarkEnd w:id="140"/>
          <w:bookmarkEnd w:id="141"/>
          <w:p w14:paraId="0A3FD538">
            <w:pPr>
              <w:pStyle w:val="3"/>
              <w:ind w:firstLine="480"/>
              <w:rPr>
                <w:color w:val="auto"/>
                <w:u w:val="single"/>
              </w:rPr>
            </w:pPr>
            <w:r>
              <w:rPr>
                <w:rFonts w:hint="eastAsia"/>
                <w:color w:val="auto"/>
                <w:u w:val="single"/>
              </w:rPr>
              <w:t>现有工程仅涉及标准厂房及配套设施建设，不涉及</w:t>
            </w:r>
            <w:bookmarkStart w:id="142" w:name="OLE_LINK31"/>
            <w:r>
              <w:rPr>
                <w:rFonts w:hint="eastAsia"/>
                <w:color w:val="auto"/>
                <w:u w:val="single"/>
              </w:rPr>
              <w:t>具体运营</w:t>
            </w:r>
            <w:bookmarkEnd w:id="142"/>
            <w:r>
              <w:rPr>
                <w:rFonts w:hint="eastAsia"/>
                <w:color w:val="auto"/>
                <w:u w:val="single"/>
              </w:rPr>
              <w:t>项目，且不涉及环境敏感区。根据《建设项目环境影响评价分类管理名录》(2021年版)，，现有工程属于“四十四、房地产业-97标准厂房”，无须办理环评手续。</w:t>
            </w:r>
            <w:bookmarkEnd w:id="139"/>
            <w:bookmarkStart w:id="143" w:name="OLE_LINK33"/>
          </w:p>
          <w:bookmarkEnd w:id="143"/>
          <w:p w14:paraId="7635AB59">
            <w:pPr>
              <w:pStyle w:val="3"/>
              <w:ind w:firstLine="480"/>
            </w:pPr>
            <w:r>
              <w:rPr>
                <w:rFonts w:hint="eastAsia"/>
              </w:rPr>
              <w:t>现有工程为不涉及具体运营项目，不存在与项目有关的原有环境污染问题。</w:t>
            </w:r>
          </w:p>
          <w:p w14:paraId="7A67C881">
            <w:pPr>
              <w:pStyle w:val="3"/>
              <w:ind w:firstLine="480"/>
            </w:pPr>
          </w:p>
        </w:tc>
      </w:tr>
    </w:tbl>
    <w:p w14:paraId="4C7EE52A">
      <w:pPr>
        <w:pStyle w:val="18"/>
        <w:rPr>
          <w:rFonts w:hint="eastAsia"/>
          <w:snapToGrid w:val="0"/>
        </w:rPr>
        <w:sectPr>
          <w:headerReference r:id="rId7" w:type="first"/>
          <w:headerReference r:id="rId5" w:type="default"/>
          <w:headerReference r:id="rId6" w:type="even"/>
          <w:pgSz w:w="11906" w:h="16838"/>
          <w:pgMar w:top="1701" w:right="1531" w:bottom="1701" w:left="1531" w:header="851" w:footer="851" w:gutter="0"/>
          <w:cols w:space="720" w:num="1"/>
          <w:docGrid w:linePitch="312" w:charSpace="0"/>
        </w:sectPr>
      </w:pPr>
    </w:p>
    <w:p w14:paraId="2CBB9247">
      <w:pPr>
        <w:pStyle w:val="2"/>
        <w:rPr>
          <w:snapToGrid w:val="0"/>
        </w:rPr>
      </w:pPr>
      <w:bookmarkStart w:id="144" w:name="_Toc191861461"/>
      <w:bookmarkStart w:id="145" w:name="_Toc175609272"/>
      <w:bookmarkStart w:id="146" w:name="_Toc175609274"/>
      <w:r>
        <w:rPr>
          <w:rFonts w:hint="eastAsia"/>
          <w:snapToGrid w:val="0"/>
        </w:rPr>
        <w:t>区域环境质量现状、环境保护目标及评价标准</w:t>
      </w:r>
      <w:bookmarkEnd w:id="144"/>
      <w:bookmarkEnd w:id="145"/>
    </w:p>
    <w:tbl>
      <w:tblPr>
        <w:tblStyle w:val="20"/>
        <w:tblW w:w="882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27"/>
        <w:gridCol w:w="8196"/>
      </w:tblGrid>
      <w:tr w14:paraId="6BFDCC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440" w:type="pct"/>
            <w:vAlign w:val="center"/>
          </w:tcPr>
          <w:p w14:paraId="32E77893">
            <w:pPr>
              <w:pStyle w:val="67"/>
              <w:rPr>
                <w:rFonts w:hint="eastAsia"/>
              </w:rPr>
            </w:pPr>
            <w:bookmarkStart w:id="147" w:name="_Toc175609273"/>
            <w:r>
              <w:rPr>
                <w:rFonts w:hint="eastAsia"/>
              </w:rPr>
              <w:t>区域环境质量现状</w:t>
            </w:r>
            <w:bookmarkEnd w:id="147"/>
          </w:p>
        </w:tc>
        <w:tc>
          <w:tcPr>
            <w:tcW w:w="4560" w:type="pct"/>
            <w:vAlign w:val="center"/>
          </w:tcPr>
          <w:p w14:paraId="75095D84">
            <w:pPr>
              <w:pStyle w:val="7"/>
            </w:pPr>
            <w:r>
              <w:rPr>
                <w:rFonts w:hint="eastAsia"/>
              </w:rPr>
              <w:t>1、环境空气质量现状</w:t>
            </w:r>
          </w:p>
          <w:p w14:paraId="67F9C9C2">
            <w:pPr>
              <w:pStyle w:val="3"/>
              <w:ind w:firstLine="480"/>
            </w:pPr>
            <w:r>
              <w:rPr>
                <w:rFonts w:hint="eastAsia"/>
              </w:rPr>
              <w:t>项目所在区域环境空气属于二类功能区，执行《环境空气质量标准》（</w:t>
            </w:r>
            <w:r>
              <w:t>GB3095-2012</w:t>
            </w:r>
            <w:r>
              <w:rPr>
                <w:rFonts w:hint="eastAsia"/>
              </w:rPr>
              <w:t>）及其</w:t>
            </w:r>
            <w:r>
              <w:t>2018</w:t>
            </w:r>
            <w:r>
              <w:rPr>
                <w:rFonts w:hint="eastAsia"/>
              </w:rPr>
              <w:t>年修改单中二级标准。</w:t>
            </w:r>
          </w:p>
          <w:p w14:paraId="7E9464DE">
            <w:pPr>
              <w:pStyle w:val="3"/>
              <w:ind w:firstLine="480"/>
            </w:pPr>
            <w:r>
              <w:rPr>
                <w:rFonts w:hint="eastAsia"/>
              </w:rPr>
              <w:t>根据广西壮族自治区生态环境厅发布的《《自治区生态环境厅关于通报</w:t>
            </w:r>
            <w:r>
              <w:t>2023</w:t>
            </w:r>
            <w:r>
              <w:rPr>
                <w:rFonts w:hint="eastAsia"/>
              </w:rPr>
              <w:t>年设区城市及各县（市、区）环境空气质量的函》（桂环函〔</w:t>
            </w:r>
            <w:r>
              <w:t>2024</w:t>
            </w:r>
            <w:r>
              <w:rPr>
                <w:rFonts w:hint="eastAsia"/>
              </w:rPr>
              <w:t>〕</w:t>
            </w:r>
            <w:r>
              <w:t>58</w:t>
            </w:r>
            <w:r>
              <w:rPr>
                <w:rFonts w:hint="eastAsia"/>
              </w:rPr>
              <w:t>号）中</w:t>
            </w:r>
            <w:r>
              <w:t>2023</w:t>
            </w:r>
            <w:r>
              <w:rPr>
                <w:rFonts w:hint="eastAsia"/>
              </w:rPr>
              <w:t>年各县（市、区）环境空气质量数据，得出项目所在区域钦州市空气质量现状评价表，具体见表</w:t>
            </w:r>
            <w:r>
              <w:t>3-1</w:t>
            </w:r>
            <w:r>
              <w:rPr>
                <w:rFonts w:hint="eastAsia"/>
              </w:rPr>
              <w:t>。</w:t>
            </w:r>
          </w:p>
          <w:p w14:paraId="17E31ECA">
            <w:pPr>
              <w:pStyle w:val="49"/>
            </w:pPr>
            <w:r>
              <w:rPr>
                <w:rFonts w:hint="eastAsia"/>
              </w:rPr>
              <w:t xml:space="preserve">表3- </w:t>
            </w:r>
            <w:r>
              <w:t>1</w:t>
            </w:r>
            <w:r>
              <w:rPr>
                <w:rFonts w:hint="eastAsia"/>
              </w:rPr>
              <w:t>：空气环境现状达标评价表</w:t>
            </w:r>
          </w:p>
          <w:tbl>
            <w:tblPr>
              <w:tblStyle w:val="5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1006"/>
              <w:gridCol w:w="2418"/>
              <w:gridCol w:w="1113"/>
              <w:gridCol w:w="1175"/>
              <w:gridCol w:w="943"/>
              <w:gridCol w:w="1289"/>
            </w:tblGrid>
            <w:tr w14:paraId="1D604E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006" w:type="dxa"/>
                  <w:tcBorders>
                    <w:top w:val="single" w:color="auto" w:sz="12" w:space="0"/>
                    <w:left w:val="nil"/>
                    <w:bottom w:val="single" w:color="auto" w:sz="12" w:space="0"/>
                    <w:right w:val="single" w:color="auto" w:sz="4" w:space="0"/>
                    <w:insideH w:val="single" w:sz="12" w:space="0"/>
                    <w:insideV w:val="single" w:sz="4" w:space="0"/>
                    <w:tl2br w:val="nil"/>
                    <w:tr2bl w:val="nil"/>
                  </w:tcBorders>
                  <w:vAlign w:val="center"/>
                </w:tcPr>
                <w:p w14:paraId="0735812E">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z w:val="21"/>
                      <w:szCs w:val="21"/>
                      <w14:ligatures w14:val="standardContextual"/>
                    </w:rPr>
                  </w:pPr>
                  <w:r>
                    <w:rPr>
                      <w:rFonts w:hint="default" w:ascii="Times New Roman" w:hAnsi="Times New Roman" w:eastAsia="宋体" w:cs="Times New Roman"/>
                      <w:b/>
                      <w:i w:val="0"/>
                      <w:sz w:val="21"/>
                      <w:szCs w:val="21"/>
                      <w14:ligatures w14:val="standardContextual"/>
                    </w:rPr>
                    <w:t>污染物</w:t>
                  </w:r>
                </w:p>
              </w:tc>
              <w:tc>
                <w:tcPr>
                  <w:tcW w:w="2418" w:type="dxa"/>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2AA96F7E">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z w:val="21"/>
                      <w:szCs w:val="21"/>
                      <w14:ligatures w14:val="standardContextual"/>
                    </w:rPr>
                  </w:pPr>
                  <w:r>
                    <w:rPr>
                      <w:rFonts w:hint="default" w:ascii="Times New Roman" w:hAnsi="Times New Roman" w:eastAsia="宋体" w:cs="Times New Roman"/>
                      <w:b/>
                      <w:i w:val="0"/>
                      <w:sz w:val="21"/>
                      <w:szCs w:val="21"/>
                      <w14:ligatures w14:val="standardContextual"/>
                    </w:rPr>
                    <w:t>年评价指标</w:t>
                  </w:r>
                </w:p>
              </w:tc>
              <w:tc>
                <w:tcPr>
                  <w:tcW w:w="1113" w:type="dxa"/>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41270DF0">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z w:val="21"/>
                      <w:szCs w:val="21"/>
                      <w14:ligatures w14:val="standardContextual"/>
                    </w:rPr>
                  </w:pPr>
                  <w:r>
                    <w:rPr>
                      <w:rFonts w:hint="default" w:ascii="Times New Roman" w:hAnsi="Times New Roman" w:eastAsia="宋体" w:cs="Times New Roman"/>
                      <w:b/>
                      <w:i w:val="0"/>
                      <w:sz w:val="21"/>
                      <w:szCs w:val="21"/>
                      <w14:ligatures w14:val="standardContextual"/>
                    </w:rPr>
                    <w:t>现状浓度</w:t>
                  </w:r>
                  <w:r>
                    <w:rPr>
                      <w:rFonts w:hint="eastAsia" w:ascii="Times New Roman" w:hAnsi="Times New Roman" w:eastAsia="宋体" w:cs="Times New Roman"/>
                      <w:b/>
                      <w:i w:val="0"/>
                      <w:sz w:val="21"/>
                      <w:szCs w:val="21"/>
                      <w14:ligatures w14:val="standardContextual"/>
                    </w:rPr>
                    <w:t>（</w:t>
                  </w:r>
                  <w:r>
                    <w:rPr>
                      <w:rFonts w:hint="default" w:ascii="Times New Roman" w:hAnsi="Times New Roman" w:eastAsia="宋体" w:cs="Times New Roman"/>
                      <w:b/>
                      <w:i w:val="0"/>
                      <w:sz w:val="21"/>
                      <w:szCs w:val="21"/>
                      <w14:ligatures w14:val="standardContextual"/>
                    </w:rPr>
                    <w:t>μg/m</w:t>
                  </w:r>
                  <w:r>
                    <w:rPr>
                      <w:rFonts w:hint="default" w:ascii="Times New Roman" w:hAnsi="Times New Roman" w:eastAsia="宋体" w:cs="Times New Roman"/>
                      <w:b/>
                      <w:i w:val="0"/>
                      <w:sz w:val="21"/>
                      <w:szCs w:val="21"/>
                      <w:vertAlign w:val="superscript"/>
                      <w14:ligatures w14:val="standardContextual"/>
                    </w:rPr>
                    <w:t>3</w:t>
                  </w:r>
                  <w:r>
                    <w:rPr>
                      <w:rFonts w:hint="eastAsia" w:ascii="Times New Roman" w:hAnsi="Times New Roman" w:eastAsia="宋体" w:cs="Times New Roman"/>
                      <w:b/>
                      <w:i w:val="0"/>
                      <w:sz w:val="21"/>
                      <w:szCs w:val="21"/>
                      <w14:ligatures w14:val="standardContextual"/>
                    </w:rPr>
                    <w:t>）</w:t>
                  </w:r>
                </w:p>
              </w:tc>
              <w:tc>
                <w:tcPr>
                  <w:tcW w:w="1175" w:type="dxa"/>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124E8FE0">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z w:val="21"/>
                      <w:szCs w:val="21"/>
                      <w14:ligatures w14:val="standardContextual"/>
                    </w:rPr>
                  </w:pPr>
                  <w:r>
                    <w:rPr>
                      <w:rFonts w:hint="default" w:ascii="Times New Roman" w:hAnsi="Times New Roman" w:eastAsia="宋体" w:cs="Times New Roman"/>
                      <w:b/>
                      <w:i w:val="0"/>
                      <w:sz w:val="21"/>
                      <w:szCs w:val="21"/>
                      <w14:ligatures w14:val="standardContextual"/>
                    </w:rPr>
                    <w:t>标准值</w:t>
                  </w:r>
                  <w:r>
                    <w:rPr>
                      <w:rFonts w:hint="eastAsia" w:ascii="Times New Roman" w:hAnsi="Times New Roman" w:eastAsia="宋体" w:cs="Times New Roman"/>
                      <w:b/>
                      <w:i w:val="0"/>
                      <w:sz w:val="21"/>
                      <w:szCs w:val="21"/>
                      <w14:ligatures w14:val="standardContextual"/>
                    </w:rPr>
                    <w:t>（</w:t>
                  </w:r>
                  <w:r>
                    <w:rPr>
                      <w:rFonts w:hint="default" w:ascii="Times New Roman" w:hAnsi="Times New Roman" w:eastAsia="宋体" w:cs="Times New Roman"/>
                      <w:b/>
                      <w:i w:val="0"/>
                      <w:sz w:val="21"/>
                      <w:szCs w:val="21"/>
                      <w14:ligatures w14:val="standardContextual"/>
                    </w:rPr>
                    <w:t>μg/m</w:t>
                  </w:r>
                  <w:r>
                    <w:rPr>
                      <w:rFonts w:hint="default" w:ascii="Times New Roman" w:hAnsi="Times New Roman" w:eastAsia="宋体" w:cs="Times New Roman"/>
                      <w:b/>
                      <w:i w:val="0"/>
                      <w:sz w:val="21"/>
                      <w:szCs w:val="21"/>
                      <w:vertAlign w:val="superscript"/>
                      <w14:ligatures w14:val="standardContextual"/>
                    </w:rPr>
                    <w:t>3</w:t>
                  </w:r>
                  <w:r>
                    <w:rPr>
                      <w:rFonts w:hint="eastAsia" w:ascii="Times New Roman" w:hAnsi="Times New Roman" w:eastAsia="宋体" w:cs="Times New Roman"/>
                      <w:b/>
                      <w:i w:val="0"/>
                      <w:sz w:val="21"/>
                      <w:szCs w:val="21"/>
                      <w14:ligatures w14:val="standardContextual"/>
                    </w:rPr>
                    <w:t>）</w:t>
                  </w:r>
                </w:p>
              </w:tc>
              <w:tc>
                <w:tcPr>
                  <w:tcW w:w="943" w:type="dxa"/>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6AF23620">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z w:val="21"/>
                      <w:szCs w:val="21"/>
                      <w14:ligatures w14:val="standardContextual"/>
                    </w:rPr>
                  </w:pPr>
                  <w:r>
                    <w:rPr>
                      <w:rFonts w:hint="default" w:ascii="Times New Roman" w:hAnsi="Times New Roman" w:eastAsia="宋体" w:cs="Times New Roman"/>
                      <w:b/>
                      <w:i w:val="0"/>
                      <w:sz w:val="21"/>
                      <w:szCs w:val="21"/>
                      <w14:ligatures w14:val="standardContextual"/>
                    </w:rPr>
                    <w:t>占标率</w:t>
                  </w:r>
                </w:p>
                <w:p w14:paraId="69135AD7">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z w:val="21"/>
                      <w:szCs w:val="21"/>
                      <w14:ligatures w14:val="standardContextual"/>
                    </w:rPr>
                  </w:pPr>
                  <w:r>
                    <w:rPr>
                      <w:rFonts w:hint="default" w:ascii="Times New Roman" w:hAnsi="Times New Roman" w:eastAsia="宋体" w:cs="Times New Roman"/>
                      <w:b/>
                      <w:i w:val="0"/>
                      <w:sz w:val="21"/>
                      <w:szCs w:val="21"/>
                      <w14:ligatures w14:val="standardContextual"/>
                    </w:rPr>
                    <w:t>(%)</w:t>
                  </w:r>
                </w:p>
              </w:tc>
              <w:tc>
                <w:tcPr>
                  <w:tcW w:w="1289" w:type="dxa"/>
                  <w:tcBorders>
                    <w:top w:val="single" w:color="auto" w:sz="12" w:space="0"/>
                    <w:bottom w:val="single" w:color="auto" w:sz="12" w:space="0"/>
                    <w:right w:val="nil"/>
                    <w:insideH w:val="single" w:sz="12" w:space="0"/>
                    <w:insideV w:val="single" w:sz="4" w:space="0"/>
                    <w:tl2br w:val="nil"/>
                    <w:tr2bl w:val="nil"/>
                  </w:tcBorders>
                  <w:vAlign w:val="center"/>
                </w:tcPr>
                <w:p w14:paraId="2690D5A1">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z w:val="21"/>
                      <w:szCs w:val="21"/>
                      <w14:ligatures w14:val="standardContextual"/>
                    </w:rPr>
                  </w:pPr>
                  <w:r>
                    <w:rPr>
                      <w:rFonts w:hint="default" w:ascii="Times New Roman" w:hAnsi="Times New Roman" w:eastAsia="宋体" w:cs="Times New Roman"/>
                      <w:b/>
                      <w:i w:val="0"/>
                      <w:sz w:val="21"/>
                      <w:szCs w:val="21"/>
                      <w14:ligatures w14:val="standardContextual"/>
                    </w:rPr>
                    <w:t>达标情况</w:t>
                  </w:r>
                </w:p>
              </w:tc>
            </w:tr>
            <w:tr w14:paraId="373007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006" w:type="dxa"/>
                  <w:vAlign w:val="center"/>
                </w:tcPr>
                <w:p w14:paraId="129FAE15">
                  <w:pPr>
                    <w:widowControl w:val="0"/>
                    <w:overflowPunct w:val="0"/>
                    <w:autoSpaceDE w:val="0"/>
                    <w:autoSpaceDN w:val="0"/>
                    <w:snapToGrid w:val="0"/>
                    <w:jc w:val="center"/>
                    <w:rPr>
                      <w14:ligatures w14:val="standardContextual"/>
                    </w:rPr>
                  </w:pPr>
                  <w:r>
                    <w:rPr>
                      <w14:ligatures w14:val="standardContextual"/>
                    </w:rPr>
                    <w:t>PM</w:t>
                  </w:r>
                  <w:r>
                    <w:rPr>
                      <w:vertAlign w:val="subscript"/>
                      <w14:ligatures w14:val="standardContextual"/>
                    </w:rPr>
                    <w:t>10</w:t>
                  </w:r>
                </w:p>
              </w:tc>
              <w:tc>
                <w:tcPr>
                  <w:tcW w:w="2418" w:type="dxa"/>
                  <w:vAlign w:val="center"/>
                </w:tcPr>
                <w:p w14:paraId="12E60F2F">
                  <w:pPr>
                    <w:widowControl w:val="0"/>
                    <w:overflowPunct w:val="0"/>
                    <w:autoSpaceDE w:val="0"/>
                    <w:autoSpaceDN w:val="0"/>
                    <w:snapToGrid w:val="0"/>
                    <w:jc w:val="center"/>
                    <w:rPr>
                      <w14:ligatures w14:val="standardContextual"/>
                    </w:rPr>
                  </w:pPr>
                  <w:r>
                    <w:rPr>
                      <w14:ligatures w14:val="standardContextual"/>
                    </w:rPr>
                    <w:t>年平均质量浓度</w:t>
                  </w:r>
                </w:p>
              </w:tc>
              <w:tc>
                <w:tcPr>
                  <w:tcW w:w="1113" w:type="dxa"/>
                  <w:vAlign w:val="center"/>
                </w:tcPr>
                <w:p w14:paraId="1EE1305A">
                  <w:pPr>
                    <w:widowControl w:val="0"/>
                    <w:overflowPunct w:val="0"/>
                    <w:autoSpaceDE w:val="0"/>
                    <w:autoSpaceDN w:val="0"/>
                    <w:snapToGrid w:val="0"/>
                    <w:jc w:val="center"/>
                    <w:rPr>
                      <w14:ligatures w14:val="standardContextual"/>
                    </w:rPr>
                  </w:pPr>
                  <w:r>
                    <w:rPr>
                      <w:rFonts w:hint="eastAsia"/>
                      <w14:ligatures w14:val="standardContextual"/>
                    </w:rPr>
                    <w:t>44</w:t>
                  </w:r>
                </w:p>
              </w:tc>
              <w:tc>
                <w:tcPr>
                  <w:tcW w:w="1175" w:type="dxa"/>
                  <w:vAlign w:val="center"/>
                </w:tcPr>
                <w:p w14:paraId="4008C1F7">
                  <w:pPr>
                    <w:widowControl w:val="0"/>
                    <w:overflowPunct w:val="0"/>
                    <w:autoSpaceDE w:val="0"/>
                    <w:autoSpaceDN w:val="0"/>
                    <w:snapToGrid w:val="0"/>
                    <w:jc w:val="center"/>
                    <w:rPr>
                      <w14:ligatures w14:val="standardContextual"/>
                    </w:rPr>
                  </w:pPr>
                  <w:r>
                    <w:rPr>
                      <w14:ligatures w14:val="standardContextual"/>
                    </w:rPr>
                    <w:t>70</w:t>
                  </w:r>
                </w:p>
              </w:tc>
              <w:tc>
                <w:tcPr>
                  <w:tcW w:w="943" w:type="dxa"/>
                  <w:vAlign w:val="center"/>
                </w:tcPr>
                <w:p w14:paraId="2B05EF55">
                  <w:pPr>
                    <w:widowControl w:val="0"/>
                    <w:overflowPunct w:val="0"/>
                    <w:autoSpaceDE w:val="0"/>
                    <w:autoSpaceDN w:val="0"/>
                    <w:snapToGrid w:val="0"/>
                    <w:jc w:val="center"/>
                    <w:rPr>
                      <w14:ligatures w14:val="standardContextual"/>
                    </w:rPr>
                  </w:pPr>
                  <w:r>
                    <w:rPr>
                      <w:rFonts w:hint="eastAsia"/>
                      <w14:ligatures w14:val="standardContextual"/>
                    </w:rPr>
                    <w:t>62.9</w:t>
                  </w:r>
                </w:p>
              </w:tc>
              <w:tc>
                <w:tcPr>
                  <w:tcW w:w="1289" w:type="dxa"/>
                  <w:vAlign w:val="center"/>
                </w:tcPr>
                <w:p w14:paraId="1DBB581D">
                  <w:pPr>
                    <w:widowControl w:val="0"/>
                    <w:overflowPunct w:val="0"/>
                    <w:autoSpaceDE w:val="0"/>
                    <w:autoSpaceDN w:val="0"/>
                    <w:snapToGrid w:val="0"/>
                    <w:jc w:val="center"/>
                    <w:rPr>
                      <w14:ligatures w14:val="standardContextual"/>
                    </w:rPr>
                  </w:pPr>
                  <w:r>
                    <w:rPr>
                      <w14:ligatures w14:val="standardContextual"/>
                    </w:rPr>
                    <w:t>达标</w:t>
                  </w:r>
                </w:p>
              </w:tc>
            </w:tr>
            <w:tr w14:paraId="6DCC8E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006" w:type="dxa"/>
                  <w:vAlign w:val="center"/>
                </w:tcPr>
                <w:p w14:paraId="48AC3209">
                  <w:pPr>
                    <w:widowControl w:val="0"/>
                    <w:overflowPunct w:val="0"/>
                    <w:autoSpaceDE w:val="0"/>
                    <w:autoSpaceDN w:val="0"/>
                    <w:snapToGrid w:val="0"/>
                    <w:jc w:val="center"/>
                    <w:rPr>
                      <w14:ligatures w14:val="standardContextual"/>
                    </w:rPr>
                  </w:pPr>
                  <w:r>
                    <w:rPr>
                      <w14:ligatures w14:val="standardContextual"/>
                    </w:rPr>
                    <w:t>SO</w:t>
                  </w:r>
                  <w:r>
                    <w:rPr>
                      <w:vertAlign w:val="subscript"/>
                      <w14:ligatures w14:val="standardContextual"/>
                    </w:rPr>
                    <w:t>2</w:t>
                  </w:r>
                </w:p>
              </w:tc>
              <w:tc>
                <w:tcPr>
                  <w:tcW w:w="2418" w:type="dxa"/>
                  <w:vAlign w:val="center"/>
                </w:tcPr>
                <w:p w14:paraId="11086C8C">
                  <w:pPr>
                    <w:widowControl w:val="0"/>
                    <w:overflowPunct w:val="0"/>
                    <w:autoSpaceDE w:val="0"/>
                    <w:autoSpaceDN w:val="0"/>
                    <w:snapToGrid w:val="0"/>
                    <w:jc w:val="center"/>
                    <w:rPr>
                      <w14:ligatures w14:val="standardContextual"/>
                    </w:rPr>
                  </w:pPr>
                  <w:r>
                    <w:rPr>
                      <w14:ligatures w14:val="standardContextual"/>
                    </w:rPr>
                    <w:t>年</w:t>
                  </w:r>
                  <w:r>
                    <w:rPr>
                      <w14:ligatures w14:val="standardContextual"/>
                    </w:rPr>
                    <w:cr/>
                  </w:r>
                  <w:r>
                    <w:rPr>
                      <w14:ligatures w14:val="standardContextual"/>
                    </w:rPr>
                    <w:t>均质量浓度</w:t>
                  </w:r>
                </w:p>
              </w:tc>
              <w:tc>
                <w:tcPr>
                  <w:tcW w:w="1113" w:type="dxa"/>
                  <w:vAlign w:val="center"/>
                </w:tcPr>
                <w:p w14:paraId="0B38F235">
                  <w:pPr>
                    <w:widowControl w:val="0"/>
                    <w:overflowPunct w:val="0"/>
                    <w:autoSpaceDE w:val="0"/>
                    <w:autoSpaceDN w:val="0"/>
                    <w:snapToGrid w:val="0"/>
                    <w:jc w:val="center"/>
                    <w:rPr>
                      <w14:ligatures w14:val="standardContextual"/>
                    </w:rPr>
                  </w:pPr>
                  <w:r>
                    <w:rPr>
                      <w:rFonts w:hint="eastAsia"/>
                      <w14:ligatures w14:val="standardContextual"/>
                    </w:rPr>
                    <w:t>8</w:t>
                  </w:r>
                </w:p>
              </w:tc>
              <w:tc>
                <w:tcPr>
                  <w:tcW w:w="1175" w:type="dxa"/>
                  <w:vAlign w:val="center"/>
                </w:tcPr>
                <w:p w14:paraId="22B08956">
                  <w:pPr>
                    <w:widowControl w:val="0"/>
                    <w:overflowPunct w:val="0"/>
                    <w:autoSpaceDE w:val="0"/>
                    <w:autoSpaceDN w:val="0"/>
                    <w:snapToGrid w:val="0"/>
                    <w:jc w:val="center"/>
                    <w:rPr>
                      <w14:ligatures w14:val="standardContextual"/>
                    </w:rPr>
                  </w:pPr>
                  <w:r>
                    <w:rPr>
                      <w14:ligatures w14:val="standardContextual"/>
                    </w:rPr>
                    <w:t>60</w:t>
                  </w:r>
                </w:p>
              </w:tc>
              <w:tc>
                <w:tcPr>
                  <w:tcW w:w="943" w:type="dxa"/>
                  <w:vAlign w:val="center"/>
                </w:tcPr>
                <w:p w14:paraId="699176EA">
                  <w:pPr>
                    <w:widowControl w:val="0"/>
                    <w:overflowPunct w:val="0"/>
                    <w:autoSpaceDE w:val="0"/>
                    <w:autoSpaceDN w:val="0"/>
                    <w:snapToGrid w:val="0"/>
                    <w:jc w:val="center"/>
                    <w:rPr>
                      <w14:ligatures w14:val="standardContextual"/>
                    </w:rPr>
                  </w:pPr>
                  <w:r>
                    <w:rPr>
                      <w:rFonts w:hint="eastAsia"/>
                      <w14:ligatures w14:val="standardContextual"/>
                    </w:rPr>
                    <w:t>13</w:t>
                  </w:r>
                </w:p>
              </w:tc>
              <w:tc>
                <w:tcPr>
                  <w:tcW w:w="1289" w:type="dxa"/>
                  <w:vAlign w:val="center"/>
                </w:tcPr>
                <w:p w14:paraId="0C8BE493">
                  <w:pPr>
                    <w:widowControl w:val="0"/>
                    <w:overflowPunct w:val="0"/>
                    <w:autoSpaceDE w:val="0"/>
                    <w:autoSpaceDN w:val="0"/>
                    <w:snapToGrid w:val="0"/>
                    <w:jc w:val="center"/>
                    <w:rPr>
                      <w14:ligatures w14:val="standardContextual"/>
                    </w:rPr>
                  </w:pPr>
                  <w:r>
                    <w:rPr>
                      <w14:ligatures w14:val="standardContextual"/>
                    </w:rPr>
                    <w:t>达标</w:t>
                  </w:r>
                </w:p>
              </w:tc>
            </w:tr>
            <w:tr w14:paraId="5C8691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006" w:type="dxa"/>
                  <w:vAlign w:val="center"/>
                </w:tcPr>
                <w:p w14:paraId="5B897FCC">
                  <w:pPr>
                    <w:widowControl w:val="0"/>
                    <w:overflowPunct w:val="0"/>
                    <w:autoSpaceDE w:val="0"/>
                    <w:autoSpaceDN w:val="0"/>
                    <w:snapToGrid w:val="0"/>
                    <w:jc w:val="center"/>
                    <w:rPr>
                      <w14:ligatures w14:val="standardContextual"/>
                    </w:rPr>
                  </w:pPr>
                  <w:r>
                    <w:rPr>
                      <w14:ligatures w14:val="standardContextual"/>
                    </w:rPr>
                    <w:t>NO</w:t>
                  </w:r>
                  <w:r>
                    <w:rPr>
                      <w:vertAlign w:val="subscript"/>
                      <w14:ligatures w14:val="standardContextual"/>
                    </w:rPr>
                    <w:t>2</w:t>
                  </w:r>
                </w:p>
              </w:tc>
              <w:tc>
                <w:tcPr>
                  <w:tcW w:w="2418" w:type="dxa"/>
                  <w:vAlign w:val="center"/>
                </w:tcPr>
                <w:p w14:paraId="44F89AF0">
                  <w:pPr>
                    <w:widowControl w:val="0"/>
                    <w:overflowPunct w:val="0"/>
                    <w:autoSpaceDE w:val="0"/>
                    <w:autoSpaceDN w:val="0"/>
                    <w:snapToGrid w:val="0"/>
                    <w:jc w:val="center"/>
                    <w:rPr>
                      <w14:ligatures w14:val="standardContextual"/>
                    </w:rPr>
                  </w:pPr>
                  <w:r>
                    <w:rPr>
                      <w14:ligatures w14:val="standardContextual"/>
                    </w:rPr>
                    <w:t>年平均质量浓度</w:t>
                  </w:r>
                </w:p>
              </w:tc>
              <w:tc>
                <w:tcPr>
                  <w:tcW w:w="1113" w:type="dxa"/>
                  <w:vAlign w:val="center"/>
                </w:tcPr>
                <w:p w14:paraId="105CBD43">
                  <w:pPr>
                    <w:widowControl w:val="0"/>
                    <w:overflowPunct w:val="0"/>
                    <w:autoSpaceDE w:val="0"/>
                    <w:autoSpaceDN w:val="0"/>
                    <w:snapToGrid w:val="0"/>
                    <w:jc w:val="center"/>
                    <w:rPr>
                      <w14:ligatures w14:val="standardContextual"/>
                    </w:rPr>
                  </w:pPr>
                  <w:r>
                    <w:rPr>
                      <w:rFonts w:hint="eastAsia"/>
                      <w14:ligatures w14:val="standardContextual"/>
                    </w:rPr>
                    <w:t>19</w:t>
                  </w:r>
                </w:p>
              </w:tc>
              <w:tc>
                <w:tcPr>
                  <w:tcW w:w="1175" w:type="dxa"/>
                  <w:vAlign w:val="center"/>
                </w:tcPr>
                <w:p w14:paraId="50D55F2C">
                  <w:pPr>
                    <w:widowControl w:val="0"/>
                    <w:overflowPunct w:val="0"/>
                    <w:autoSpaceDE w:val="0"/>
                    <w:autoSpaceDN w:val="0"/>
                    <w:snapToGrid w:val="0"/>
                    <w:jc w:val="center"/>
                    <w:rPr>
                      <w14:ligatures w14:val="standardContextual"/>
                    </w:rPr>
                  </w:pPr>
                  <w:r>
                    <w:rPr>
                      <w14:ligatures w14:val="standardContextual"/>
                    </w:rPr>
                    <w:t>40</w:t>
                  </w:r>
                </w:p>
              </w:tc>
              <w:tc>
                <w:tcPr>
                  <w:tcW w:w="943" w:type="dxa"/>
                  <w:vAlign w:val="center"/>
                </w:tcPr>
                <w:p w14:paraId="24B0FECA">
                  <w:pPr>
                    <w:widowControl w:val="0"/>
                    <w:overflowPunct w:val="0"/>
                    <w:autoSpaceDE w:val="0"/>
                    <w:autoSpaceDN w:val="0"/>
                    <w:snapToGrid w:val="0"/>
                    <w:jc w:val="center"/>
                    <w:rPr>
                      <w14:ligatures w14:val="standardContextual"/>
                    </w:rPr>
                  </w:pPr>
                  <w:r>
                    <w:rPr>
                      <w:rFonts w:hint="eastAsia"/>
                      <w14:ligatures w14:val="standardContextual"/>
                    </w:rPr>
                    <w:t>47.5</w:t>
                  </w:r>
                </w:p>
              </w:tc>
              <w:tc>
                <w:tcPr>
                  <w:tcW w:w="1289" w:type="dxa"/>
                  <w:vAlign w:val="center"/>
                </w:tcPr>
                <w:p w14:paraId="352B6320">
                  <w:pPr>
                    <w:widowControl w:val="0"/>
                    <w:overflowPunct w:val="0"/>
                    <w:autoSpaceDE w:val="0"/>
                    <w:autoSpaceDN w:val="0"/>
                    <w:snapToGrid w:val="0"/>
                    <w:jc w:val="center"/>
                    <w:rPr>
                      <w14:ligatures w14:val="standardContextual"/>
                    </w:rPr>
                  </w:pPr>
                  <w:r>
                    <w:rPr>
                      <w14:ligatures w14:val="standardContextual"/>
                    </w:rPr>
                    <w:t>达标</w:t>
                  </w:r>
                </w:p>
              </w:tc>
            </w:tr>
            <w:tr w14:paraId="696562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006" w:type="dxa"/>
                  <w:vAlign w:val="center"/>
                </w:tcPr>
                <w:p w14:paraId="317586B1">
                  <w:pPr>
                    <w:widowControl w:val="0"/>
                    <w:overflowPunct w:val="0"/>
                    <w:autoSpaceDE w:val="0"/>
                    <w:autoSpaceDN w:val="0"/>
                    <w:snapToGrid w:val="0"/>
                    <w:jc w:val="center"/>
                    <w:rPr>
                      <w14:ligatures w14:val="standardContextual"/>
                    </w:rPr>
                  </w:pPr>
                  <w:r>
                    <w:rPr>
                      <w14:ligatures w14:val="standardContextual"/>
                    </w:rPr>
                    <w:t>PM</w:t>
                  </w:r>
                  <w:r>
                    <w:rPr>
                      <w:vertAlign w:val="subscript"/>
                      <w14:ligatures w14:val="standardContextual"/>
                    </w:rPr>
                    <w:t>2.5</w:t>
                  </w:r>
                </w:p>
              </w:tc>
              <w:tc>
                <w:tcPr>
                  <w:tcW w:w="2418" w:type="dxa"/>
                  <w:vAlign w:val="center"/>
                </w:tcPr>
                <w:p w14:paraId="04BCF80A">
                  <w:pPr>
                    <w:widowControl w:val="0"/>
                    <w:overflowPunct w:val="0"/>
                    <w:autoSpaceDE w:val="0"/>
                    <w:autoSpaceDN w:val="0"/>
                    <w:snapToGrid w:val="0"/>
                    <w:jc w:val="center"/>
                    <w:rPr>
                      <w14:ligatures w14:val="standardContextual"/>
                    </w:rPr>
                  </w:pPr>
                  <w:r>
                    <w:rPr>
                      <w14:ligatures w14:val="standardContextual"/>
                    </w:rPr>
                    <w:t>年平均质量浓度</w:t>
                  </w:r>
                </w:p>
              </w:tc>
              <w:tc>
                <w:tcPr>
                  <w:tcW w:w="1113" w:type="dxa"/>
                  <w:vAlign w:val="center"/>
                </w:tcPr>
                <w:p w14:paraId="608452E6">
                  <w:pPr>
                    <w:widowControl w:val="0"/>
                    <w:overflowPunct w:val="0"/>
                    <w:autoSpaceDE w:val="0"/>
                    <w:autoSpaceDN w:val="0"/>
                    <w:snapToGrid w:val="0"/>
                    <w:jc w:val="center"/>
                    <w:rPr>
                      <w14:ligatures w14:val="standardContextual"/>
                    </w:rPr>
                  </w:pPr>
                  <w:r>
                    <w:rPr>
                      <w:rFonts w:hint="eastAsia"/>
                      <w14:ligatures w14:val="standardContextual"/>
                    </w:rPr>
                    <w:t>24.3</w:t>
                  </w:r>
                </w:p>
              </w:tc>
              <w:tc>
                <w:tcPr>
                  <w:tcW w:w="1175" w:type="dxa"/>
                  <w:vAlign w:val="center"/>
                </w:tcPr>
                <w:p w14:paraId="4F6D3565">
                  <w:pPr>
                    <w:widowControl w:val="0"/>
                    <w:overflowPunct w:val="0"/>
                    <w:autoSpaceDE w:val="0"/>
                    <w:autoSpaceDN w:val="0"/>
                    <w:snapToGrid w:val="0"/>
                    <w:jc w:val="center"/>
                    <w:rPr>
                      <w14:ligatures w14:val="standardContextual"/>
                    </w:rPr>
                  </w:pPr>
                  <w:r>
                    <w:rPr>
                      <w14:ligatures w14:val="standardContextual"/>
                    </w:rPr>
                    <w:t>35</w:t>
                  </w:r>
                </w:p>
              </w:tc>
              <w:tc>
                <w:tcPr>
                  <w:tcW w:w="943" w:type="dxa"/>
                  <w:vAlign w:val="center"/>
                </w:tcPr>
                <w:p w14:paraId="2BA6367D">
                  <w:pPr>
                    <w:widowControl w:val="0"/>
                    <w:overflowPunct w:val="0"/>
                    <w:autoSpaceDE w:val="0"/>
                    <w:autoSpaceDN w:val="0"/>
                    <w:snapToGrid w:val="0"/>
                    <w:jc w:val="center"/>
                    <w:rPr>
                      <w14:ligatures w14:val="standardContextual"/>
                    </w:rPr>
                  </w:pPr>
                  <w:r>
                    <w:rPr>
                      <w:rFonts w:hint="eastAsia"/>
                      <w14:ligatures w14:val="standardContextual"/>
                    </w:rPr>
                    <w:t>69.4</w:t>
                  </w:r>
                </w:p>
              </w:tc>
              <w:tc>
                <w:tcPr>
                  <w:tcW w:w="1289" w:type="dxa"/>
                  <w:vAlign w:val="center"/>
                </w:tcPr>
                <w:p w14:paraId="2285283D">
                  <w:pPr>
                    <w:widowControl w:val="0"/>
                    <w:overflowPunct w:val="0"/>
                    <w:autoSpaceDE w:val="0"/>
                    <w:autoSpaceDN w:val="0"/>
                    <w:snapToGrid w:val="0"/>
                    <w:jc w:val="center"/>
                    <w:rPr>
                      <w14:ligatures w14:val="standardContextual"/>
                    </w:rPr>
                  </w:pPr>
                  <w:r>
                    <w:rPr>
                      <w14:ligatures w14:val="standardContextual"/>
                    </w:rPr>
                    <w:t>达标</w:t>
                  </w:r>
                </w:p>
              </w:tc>
            </w:tr>
            <w:tr w14:paraId="24E332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006" w:type="dxa"/>
                  <w:vAlign w:val="center"/>
                </w:tcPr>
                <w:p w14:paraId="71913C32">
                  <w:pPr>
                    <w:widowControl w:val="0"/>
                    <w:overflowPunct w:val="0"/>
                    <w:autoSpaceDE w:val="0"/>
                    <w:autoSpaceDN w:val="0"/>
                    <w:snapToGrid w:val="0"/>
                    <w:jc w:val="center"/>
                    <w:rPr>
                      <w14:ligatures w14:val="standardContextual"/>
                    </w:rPr>
                  </w:pPr>
                  <w:r>
                    <w:rPr>
                      <w14:ligatures w14:val="standardContextual"/>
                    </w:rPr>
                    <w:t>C</w:t>
                  </w:r>
                  <w:r>
                    <w:rPr>
                      <w:rFonts w:hint="eastAsia"/>
                      <w14:ligatures w14:val="standardContextual"/>
                    </w:rPr>
                    <w:t>O</w:t>
                  </w:r>
                </w:p>
              </w:tc>
              <w:tc>
                <w:tcPr>
                  <w:tcW w:w="2418" w:type="dxa"/>
                  <w:vAlign w:val="center"/>
                </w:tcPr>
                <w:p w14:paraId="6BBF2E0B">
                  <w:pPr>
                    <w:widowControl w:val="0"/>
                    <w:overflowPunct w:val="0"/>
                    <w:autoSpaceDE w:val="0"/>
                    <w:autoSpaceDN w:val="0"/>
                    <w:snapToGrid w:val="0"/>
                    <w:jc w:val="center"/>
                    <w:rPr>
                      <w14:ligatures w14:val="standardContextual"/>
                    </w:rPr>
                  </w:pPr>
                  <w:r>
                    <w:rPr>
                      <w:rFonts w:hint="eastAsia"/>
                      <w14:ligatures w14:val="standardContextual"/>
                    </w:rPr>
                    <w:t>平均</w:t>
                  </w:r>
                  <w:r>
                    <w:rPr>
                      <w14:ligatures w14:val="standardContextual"/>
                    </w:rPr>
                    <w:t>第95百分位数浓度</w:t>
                  </w:r>
                </w:p>
              </w:tc>
              <w:tc>
                <w:tcPr>
                  <w:tcW w:w="1113" w:type="dxa"/>
                  <w:vAlign w:val="center"/>
                </w:tcPr>
                <w:p w14:paraId="20563AC8">
                  <w:pPr>
                    <w:widowControl w:val="0"/>
                    <w:overflowPunct w:val="0"/>
                    <w:autoSpaceDE w:val="0"/>
                    <w:autoSpaceDN w:val="0"/>
                    <w:snapToGrid w:val="0"/>
                    <w:jc w:val="center"/>
                    <w:rPr>
                      <w14:ligatures w14:val="standardContextual"/>
                    </w:rPr>
                  </w:pPr>
                  <w:r>
                    <w:rPr>
                      <w:rFonts w:hint="eastAsia"/>
                      <w14:ligatures w14:val="standardContextual"/>
                    </w:rPr>
                    <w:t>1.1</w:t>
                  </w:r>
                  <w:r>
                    <w:rPr>
                      <w14:ligatures w14:val="standardContextual"/>
                    </w:rPr>
                    <w:t>mg/m</w:t>
                  </w:r>
                  <w:r>
                    <w:rPr>
                      <w:vertAlign w:val="superscript"/>
                      <w14:ligatures w14:val="standardContextual"/>
                    </w:rPr>
                    <w:t>3</w:t>
                  </w:r>
                </w:p>
              </w:tc>
              <w:tc>
                <w:tcPr>
                  <w:tcW w:w="1175" w:type="dxa"/>
                  <w:vAlign w:val="center"/>
                </w:tcPr>
                <w:p w14:paraId="2719DBF5">
                  <w:pPr>
                    <w:widowControl w:val="0"/>
                    <w:overflowPunct w:val="0"/>
                    <w:autoSpaceDE w:val="0"/>
                    <w:autoSpaceDN w:val="0"/>
                    <w:snapToGrid w:val="0"/>
                    <w:jc w:val="center"/>
                    <w:rPr>
                      <w14:ligatures w14:val="standardContextual"/>
                    </w:rPr>
                  </w:pPr>
                  <w:r>
                    <w:rPr>
                      <w14:ligatures w14:val="standardContextual"/>
                    </w:rPr>
                    <w:t>4mg/m</w:t>
                  </w:r>
                  <w:r>
                    <w:rPr>
                      <w:vertAlign w:val="superscript"/>
                      <w14:ligatures w14:val="standardContextual"/>
                    </w:rPr>
                    <w:t>3</w:t>
                  </w:r>
                </w:p>
              </w:tc>
              <w:tc>
                <w:tcPr>
                  <w:tcW w:w="943" w:type="dxa"/>
                  <w:vAlign w:val="center"/>
                </w:tcPr>
                <w:p w14:paraId="2617FC8E">
                  <w:pPr>
                    <w:widowControl w:val="0"/>
                    <w:overflowPunct w:val="0"/>
                    <w:autoSpaceDE w:val="0"/>
                    <w:autoSpaceDN w:val="0"/>
                    <w:snapToGrid w:val="0"/>
                    <w:jc w:val="center"/>
                    <w:rPr>
                      <w14:ligatures w14:val="standardContextual"/>
                    </w:rPr>
                  </w:pPr>
                  <w:r>
                    <w:rPr>
                      <w:rFonts w:hint="eastAsia"/>
                      <w14:ligatures w14:val="standardContextual"/>
                    </w:rPr>
                    <w:t>27.5</w:t>
                  </w:r>
                </w:p>
              </w:tc>
              <w:tc>
                <w:tcPr>
                  <w:tcW w:w="1289" w:type="dxa"/>
                  <w:vAlign w:val="center"/>
                </w:tcPr>
                <w:p w14:paraId="0140900F">
                  <w:pPr>
                    <w:widowControl w:val="0"/>
                    <w:overflowPunct w:val="0"/>
                    <w:autoSpaceDE w:val="0"/>
                    <w:autoSpaceDN w:val="0"/>
                    <w:snapToGrid w:val="0"/>
                    <w:jc w:val="center"/>
                    <w:rPr>
                      <w14:ligatures w14:val="standardContextual"/>
                    </w:rPr>
                  </w:pPr>
                  <w:r>
                    <w:rPr>
                      <w14:ligatures w14:val="standardContextual"/>
                    </w:rPr>
                    <w:t>达标</w:t>
                  </w:r>
                </w:p>
              </w:tc>
            </w:tr>
            <w:tr w14:paraId="5FB19F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006" w:type="dxa"/>
                  <w:vAlign w:val="center"/>
                </w:tcPr>
                <w:p w14:paraId="3B270B51">
                  <w:pPr>
                    <w:widowControl w:val="0"/>
                    <w:overflowPunct w:val="0"/>
                    <w:autoSpaceDE w:val="0"/>
                    <w:autoSpaceDN w:val="0"/>
                    <w:snapToGrid w:val="0"/>
                    <w:jc w:val="center"/>
                    <w:rPr>
                      <w14:ligatures w14:val="standardContextual"/>
                    </w:rPr>
                  </w:pPr>
                  <w:r>
                    <w:rPr>
                      <w14:ligatures w14:val="standardContextual"/>
                    </w:rPr>
                    <w:t>O</w:t>
                  </w:r>
                  <w:r>
                    <w:rPr>
                      <w:vertAlign w:val="subscript"/>
                      <w14:ligatures w14:val="standardContextual"/>
                    </w:rPr>
                    <w:t>3</w:t>
                  </w:r>
                </w:p>
              </w:tc>
              <w:tc>
                <w:tcPr>
                  <w:tcW w:w="2418" w:type="dxa"/>
                  <w:vAlign w:val="center"/>
                </w:tcPr>
                <w:p w14:paraId="63EA02BF">
                  <w:pPr>
                    <w:widowControl w:val="0"/>
                    <w:overflowPunct w:val="0"/>
                    <w:autoSpaceDE w:val="0"/>
                    <w:autoSpaceDN w:val="0"/>
                    <w:snapToGrid w:val="0"/>
                    <w:jc w:val="center"/>
                    <w:rPr>
                      <w14:ligatures w14:val="standardContextual"/>
                    </w:rPr>
                  </w:pPr>
                  <w:r>
                    <w:rPr>
                      <w:rFonts w:hint="eastAsia"/>
                      <w14:ligatures w14:val="standardContextual"/>
                    </w:rPr>
                    <w:t>平均</w:t>
                  </w:r>
                  <w:r>
                    <w:rPr>
                      <w14:ligatures w14:val="standardContextual"/>
                    </w:rPr>
                    <w:t>第90百分位数浓度</w:t>
                  </w:r>
                </w:p>
              </w:tc>
              <w:tc>
                <w:tcPr>
                  <w:tcW w:w="1113" w:type="dxa"/>
                  <w:vAlign w:val="center"/>
                </w:tcPr>
                <w:p w14:paraId="23783327">
                  <w:pPr>
                    <w:widowControl w:val="0"/>
                    <w:overflowPunct w:val="0"/>
                    <w:autoSpaceDE w:val="0"/>
                    <w:autoSpaceDN w:val="0"/>
                    <w:snapToGrid w:val="0"/>
                    <w:jc w:val="center"/>
                    <w:rPr>
                      <w14:ligatures w14:val="standardContextual"/>
                    </w:rPr>
                  </w:pPr>
                  <w:r>
                    <w:rPr>
                      <w:rFonts w:hint="eastAsia"/>
                      <w14:ligatures w14:val="standardContextual"/>
                    </w:rPr>
                    <w:t>118</w:t>
                  </w:r>
                </w:p>
              </w:tc>
              <w:tc>
                <w:tcPr>
                  <w:tcW w:w="1175" w:type="dxa"/>
                  <w:vAlign w:val="center"/>
                </w:tcPr>
                <w:p w14:paraId="554F29DF">
                  <w:pPr>
                    <w:widowControl w:val="0"/>
                    <w:overflowPunct w:val="0"/>
                    <w:autoSpaceDE w:val="0"/>
                    <w:autoSpaceDN w:val="0"/>
                    <w:snapToGrid w:val="0"/>
                    <w:jc w:val="center"/>
                    <w:rPr>
                      <w14:ligatures w14:val="standardContextual"/>
                    </w:rPr>
                  </w:pPr>
                  <w:r>
                    <w:rPr>
                      <w14:ligatures w14:val="standardContextual"/>
                    </w:rPr>
                    <w:t>160</w:t>
                  </w:r>
                </w:p>
              </w:tc>
              <w:tc>
                <w:tcPr>
                  <w:tcW w:w="943" w:type="dxa"/>
                  <w:vAlign w:val="center"/>
                </w:tcPr>
                <w:p w14:paraId="59062D85">
                  <w:pPr>
                    <w:widowControl w:val="0"/>
                    <w:overflowPunct w:val="0"/>
                    <w:autoSpaceDE w:val="0"/>
                    <w:autoSpaceDN w:val="0"/>
                    <w:snapToGrid w:val="0"/>
                    <w:jc w:val="center"/>
                    <w:rPr>
                      <w14:ligatures w14:val="standardContextual"/>
                    </w:rPr>
                  </w:pPr>
                  <w:r>
                    <w:rPr>
                      <w:rFonts w:hint="eastAsia"/>
                      <w14:ligatures w14:val="standardContextual"/>
                    </w:rPr>
                    <w:t>73.75</w:t>
                  </w:r>
                </w:p>
              </w:tc>
              <w:tc>
                <w:tcPr>
                  <w:tcW w:w="1289" w:type="dxa"/>
                  <w:vAlign w:val="center"/>
                </w:tcPr>
                <w:p w14:paraId="5D0D3B87">
                  <w:pPr>
                    <w:widowControl w:val="0"/>
                    <w:overflowPunct w:val="0"/>
                    <w:autoSpaceDE w:val="0"/>
                    <w:autoSpaceDN w:val="0"/>
                    <w:snapToGrid w:val="0"/>
                    <w:jc w:val="center"/>
                    <w:rPr>
                      <w14:ligatures w14:val="standardContextual"/>
                    </w:rPr>
                  </w:pPr>
                  <w:r>
                    <w:rPr>
                      <w14:ligatures w14:val="standardContextual"/>
                    </w:rPr>
                    <w:t>达标</w:t>
                  </w:r>
                </w:p>
              </w:tc>
            </w:tr>
          </w:tbl>
          <w:p w14:paraId="484C4948">
            <w:pPr>
              <w:pStyle w:val="3"/>
              <w:ind w:firstLine="480"/>
            </w:pPr>
            <w:r>
              <w:rPr>
                <w:rFonts w:hint="eastAsia"/>
              </w:rPr>
              <w:t>可知，二氧化硫、二氧化氮、吸入颗粒物（</w:t>
            </w:r>
            <w:r>
              <w:t>PM</w:t>
            </w:r>
            <w:r>
              <w:rPr>
                <w:vertAlign w:val="subscript"/>
              </w:rPr>
              <w:t>10</w:t>
            </w:r>
            <w:r>
              <w:rPr>
                <w:rFonts w:hint="eastAsia"/>
              </w:rPr>
              <w:t>）、细颗粒物（</w:t>
            </w:r>
            <w:r>
              <w:t>PM</w:t>
            </w:r>
            <w:r>
              <w:rPr>
                <w:vertAlign w:val="subscript"/>
              </w:rPr>
              <w:t>2.5</w:t>
            </w:r>
            <w:r>
              <w:rPr>
                <w:rFonts w:hint="eastAsia"/>
              </w:rPr>
              <w:t>）一氧化碳、臭氧六项污染物全部达标，即区域环境空气质量满足《环境空气质量标准》（</w:t>
            </w:r>
            <w:r>
              <w:t>GB3095-2012</w:t>
            </w:r>
            <w:r>
              <w:rPr>
                <w:rFonts w:hint="eastAsia"/>
              </w:rPr>
              <w:t>）中二级标准限值，则项目所在评价区域属于达标区。</w:t>
            </w:r>
          </w:p>
          <w:p w14:paraId="67A371E3">
            <w:pPr>
              <w:pStyle w:val="7"/>
            </w:pPr>
            <w:r>
              <w:t>2</w:t>
            </w:r>
            <w:r>
              <w:rPr>
                <w:rFonts w:hint="eastAsia"/>
              </w:rPr>
              <w:t>、地表水环境质量现状</w:t>
            </w:r>
          </w:p>
          <w:p w14:paraId="09798BB9">
            <w:pPr>
              <w:pStyle w:val="3"/>
              <w:ind w:firstLine="480"/>
            </w:pPr>
            <w:r>
              <w:rPr>
                <w:rFonts w:hint="eastAsia"/>
              </w:rPr>
              <w:t>根据《环境影响评价技术导则－地表水环境》(HJ2.3-2018)，水环境质量现状调查应优先采用国务院生态环境保护主管部门统一发布的水环境状况信息。</w:t>
            </w:r>
          </w:p>
          <w:p w14:paraId="16F1EE4F">
            <w:pPr>
              <w:pStyle w:val="3"/>
              <w:ind w:firstLine="480"/>
            </w:pPr>
            <w:r>
              <w:rPr>
                <w:rFonts w:hint="eastAsia"/>
              </w:rPr>
              <w:t>本项目区域地表水系最终汇入金鼓江。本项目距离西南面下游金鼓江水域最近1.9公里，根据《广西壮族自治区人民政府办公厅关于印发广西壮族自治区近岸海域环境功能区划调整方案的通知》(桂政办发〔2011〕74 号)，金鼓江水域属于钦州港金鼓江排污混合区(GX056DⅣ)。执行海水水质标准(GB 3097-1997)第四类排放限值。</w:t>
            </w:r>
          </w:p>
          <w:p w14:paraId="3BB93027">
            <w:pPr>
              <w:pStyle w:val="3"/>
              <w:ind w:firstLine="480"/>
            </w:pPr>
            <w:r>
              <w:rPr>
                <w:rFonts w:hint="eastAsia"/>
              </w:rPr>
              <w:t>本次引用《2022年度广西钦州市海洋生态保护修复项目(重新报批)环境影响报告书(报批稿)》监测数据，引用该项目2022年5月2号站点监测数据。</w:t>
            </w:r>
          </w:p>
          <w:p w14:paraId="540D331B">
            <w:pPr>
              <w:pStyle w:val="49"/>
            </w:pPr>
            <w:r>
              <w:rPr>
                <w:rFonts w:hint="eastAsia"/>
              </w:rPr>
              <w:t>表</w:t>
            </w:r>
            <w:r>
              <w:t>3- 2</w:t>
            </w:r>
            <w:r>
              <w:rPr>
                <w:rFonts w:hint="eastAsia"/>
              </w:rPr>
              <w:t>：海水水质调查结果(2022年5月)</w:t>
            </w:r>
          </w:p>
          <w:tbl>
            <w:tblPr>
              <w:tblStyle w:val="5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2142"/>
              <w:gridCol w:w="2021"/>
              <w:gridCol w:w="2314"/>
              <w:gridCol w:w="1500"/>
            </w:tblGrid>
            <w:tr w14:paraId="667C34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342" w:type="pct"/>
                  <w:tcBorders>
                    <w:top w:val="single" w:color="auto" w:sz="12" w:space="0"/>
                    <w:left w:val="nil"/>
                    <w:bottom w:val="single" w:color="auto" w:sz="12" w:space="0"/>
                    <w:right w:val="single" w:color="auto" w:sz="4" w:space="0"/>
                    <w:insideH w:val="single" w:sz="12" w:space="0"/>
                    <w:insideV w:val="single" w:sz="4" w:space="0"/>
                    <w:tl2br w:val="nil"/>
                    <w:tr2bl w:val="nil"/>
                  </w:tcBorders>
                  <w:vAlign w:val="center"/>
                </w:tcPr>
                <w:p w14:paraId="5C0181DB">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z w:val="21"/>
                      <w:szCs w:val="21"/>
                      <w:lang w:bidi="ar"/>
                      <w14:ligatures w14:val="standardContextual"/>
                    </w:rPr>
                  </w:pPr>
                  <w:r>
                    <w:rPr>
                      <w:rFonts w:hint="eastAsia" w:ascii="Times New Roman" w:hAnsi="Times New Roman" w:eastAsia="宋体" w:cs="Times New Roman"/>
                      <w:b/>
                      <w:i w:val="0"/>
                      <w:sz w:val="21"/>
                      <w:szCs w:val="21"/>
                      <w:lang w:bidi="ar"/>
                      <w14:ligatures w14:val="standardContextual"/>
                    </w:rPr>
                    <w:t>污染物</w:t>
                  </w:r>
                </w:p>
              </w:tc>
              <w:tc>
                <w:tcPr>
                  <w:tcW w:w="1266"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40DF93C9">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z w:val="21"/>
                      <w:szCs w:val="21"/>
                      <w:lang w:bidi="ar"/>
                      <w14:ligatures w14:val="standardContextual"/>
                    </w:rPr>
                  </w:pPr>
                  <w:r>
                    <w:rPr>
                      <w:rFonts w:hint="eastAsia" w:ascii="Times New Roman" w:hAnsi="Times New Roman" w:eastAsia="宋体" w:cs="Times New Roman"/>
                      <w:b/>
                      <w:i w:val="0"/>
                      <w:sz w:val="21"/>
                      <w:szCs w:val="21"/>
                      <w:lang w:bidi="ar"/>
                      <w14:ligatures w14:val="standardContextual"/>
                    </w:rPr>
                    <w:t>监测结果</w:t>
                  </w:r>
                </w:p>
              </w:tc>
              <w:tc>
                <w:tcPr>
                  <w:tcW w:w="1450"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5C356F11">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z w:val="21"/>
                      <w:szCs w:val="21"/>
                      <w:lang w:bidi="ar"/>
                      <w14:ligatures w14:val="standardContextual"/>
                    </w:rPr>
                  </w:pPr>
                  <w:r>
                    <w:rPr>
                      <w:rFonts w:hint="eastAsia" w:ascii="Times New Roman" w:hAnsi="Times New Roman" w:eastAsia="宋体" w:cs="Times New Roman"/>
                      <w:b/>
                      <w:i w:val="0"/>
                      <w:sz w:val="21"/>
                      <w:szCs w:val="21"/>
                      <w:lang w:bidi="ar"/>
                      <w14:ligatures w14:val="standardContextual"/>
                    </w:rPr>
                    <w:t>第四类标准限值</w:t>
                  </w:r>
                </w:p>
              </w:tc>
              <w:tc>
                <w:tcPr>
                  <w:tcW w:w="940" w:type="pct"/>
                  <w:tcBorders>
                    <w:top w:val="single" w:color="auto" w:sz="12" w:space="0"/>
                    <w:bottom w:val="single" w:color="auto" w:sz="12" w:space="0"/>
                    <w:right w:val="nil"/>
                    <w:insideH w:val="single" w:sz="12" w:space="0"/>
                    <w:insideV w:val="single" w:sz="4" w:space="0"/>
                    <w:tl2br w:val="nil"/>
                    <w:tr2bl w:val="nil"/>
                  </w:tcBorders>
                  <w:vAlign w:val="center"/>
                </w:tcPr>
                <w:p w14:paraId="08F2D258">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z w:val="21"/>
                      <w:szCs w:val="21"/>
                      <w:lang w:bidi="ar"/>
                      <w14:ligatures w14:val="standardContextual"/>
                    </w:rPr>
                  </w:pPr>
                  <w:r>
                    <w:rPr>
                      <w:rFonts w:hint="eastAsia" w:ascii="Times New Roman" w:hAnsi="Times New Roman" w:eastAsia="宋体" w:cs="Times New Roman"/>
                      <w:b/>
                      <w:i w:val="0"/>
                      <w:sz w:val="21"/>
                      <w:szCs w:val="21"/>
                      <w:lang w:bidi="ar"/>
                      <w14:ligatures w14:val="standardContextual"/>
                    </w:rPr>
                    <w:t>备注</w:t>
                  </w:r>
                </w:p>
              </w:tc>
            </w:tr>
            <w:tr w14:paraId="12540D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18" w:hRule="atLeast"/>
                <w:jc w:val="center"/>
              </w:trPr>
              <w:tc>
                <w:tcPr>
                  <w:tcW w:w="1342" w:type="pct"/>
                  <w:vAlign w:val="center"/>
                </w:tcPr>
                <w:p w14:paraId="45F3940F">
                  <w:pPr>
                    <w:widowControl w:val="0"/>
                    <w:overflowPunct w:val="0"/>
                    <w:autoSpaceDE w:val="0"/>
                    <w:autoSpaceDN w:val="0"/>
                    <w:snapToGrid w:val="0"/>
                    <w:jc w:val="center"/>
                    <w:rPr>
                      <w:lang w:bidi="ar"/>
                      <w14:ligatures w14:val="standardContextual"/>
                    </w:rPr>
                  </w:pPr>
                  <w:r>
                    <w:rPr>
                      <w:rFonts w:hint="eastAsia"/>
                      <w:lang w:bidi="ar"/>
                      <w14:ligatures w14:val="standardContextual"/>
                    </w:rPr>
                    <w:t>pH</w:t>
                  </w:r>
                </w:p>
              </w:tc>
              <w:tc>
                <w:tcPr>
                  <w:tcW w:w="2043" w:type="dxa"/>
                  <w:vAlign w:val="center"/>
                </w:tcPr>
                <w:p w14:paraId="2C83DD37">
                  <w:pPr>
                    <w:widowControl w:val="0"/>
                    <w:overflowPunct w:val="0"/>
                    <w:autoSpaceDE w:val="0"/>
                    <w:autoSpaceDN w:val="0"/>
                    <w:snapToGrid w:val="0"/>
                    <w:jc w:val="center"/>
                    <w:rPr>
                      <w:lang w:bidi="ar"/>
                      <w14:ligatures w14:val="standardContextual"/>
                    </w:rPr>
                  </w:pPr>
                  <w:r>
                    <w:rPr>
                      <w:rFonts w:hint="eastAsia"/>
                      <w:lang w:bidi="ar"/>
                      <w14:ligatures w14:val="standardContextual"/>
                    </w:rPr>
                    <w:t>7.77</w:t>
                  </w:r>
                </w:p>
              </w:tc>
              <w:tc>
                <w:tcPr>
                  <w:tcW w:w="1450" w:type="pct"/>
                  <w:vAlign w:val="center"/>
                </w:tcPr>
                <w:p w14:paraId="59CA51AF">
                  <w:pPr>
                    <w:widowControl w:val="0"/>
                    <w:overflowPunct w:val="0"/>
                    <w:autoSpaceDE w:val="0"/>
                    <w:autoSpaceDN w:val="0"/>
                    <w:snapToGrid w:val="0"/>
                    <w:jc w:val="center"/>
                    <w:rPr>
                      <w:lang w:bidi="ar"/>
                      <w14:ligatures w14:val="standardContextual"/>
                    </w:rPr>
                  </w:pPr>
                  <w:r>
                    <w:rPr>
                      <w:rFonts w:hint="eastAsia"/>
                      <w:lang w:bidi="ar"/>
                      <w14:ligatures w14:val="standardContextual"/>
                    </w:rPr>
                    <w:t>6.8~8.</w:t>
                  </w:r>
                  <w:r>
                    <w:rPr>
                      <w:rFonts w:hint="eastAsia"/>
                      <w:lang w:bidi="ar"/>
                      <w14:ligatures w14:val="standardContextual"/>
                    </w:rPr>
                    <w:cr/>
                  </w:r>
                  <w:r>
                    <w:rPr>
                      <w:rFonts w:hint="eastAsia"/>
                      <w:lang w:bidi="ar"/>
                      <w14:ligatures w14:val="standardContextual"/>
                    </w:rPr>
                    <w:t>8</w:t>
                  </w:r>
                </w:p>
              </w:tc>
              <w:tc>
                <w:tcPr>
                  <w:tcW w:w="940" w:type="pct"/>
                  <w:vAlign w:val="center"/>
                </w:tcPr>
                <w:p w14:paraId="41AC8416">
                  <w:pPr>
                    <w:widowControl w:val="0"/>
                    <w:overflowPunct w:val="0"/>
                    <w:autoSpaceDE w:val="0"/>
                    <w:autoSpaceDN w:val="0"/>
                    <w:snapToGrid w:val="0"/>
                    <w:jc w:val="center"/>
                    <w:rPr>
                      <w:lang w:bidi="ar"/>
                      <w14:ligatures w14:val="standardContextual"/>
                    </w:rPr>
                  </w:pPr>
                  <w:r>
                    <w:rPr>
                      <w:rFonts w:hint="eastAsia"/>
                      <w:lang w:bidi="ar"/>
                      <w14:ligatures w14:val="standardContextual"/>
                    </w:rPr>
                    <w:t>达标</w:t>
                  </w:r>
                </w:p>
              </w:tc>
            </w:tr>
            <w:tr w14:paraId="7C0C7A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35" w:hRule="atLeast"/>
                <w:jc w:val="center"/>
              </w:trPr>
              <w:tc>
                <w:tcPr>
                  <w:tcW w:w="1342" w:type="pct"/>
                  <w:vAlign w:val="center"/>
                </w:tcPr>
                <w:p w14:paraId="3DA3E6BE">
                  <w:pPr>
                    <w:widowControl w:val="0"/>
                    <w:overflowPunct w:val="0"/>
                    <w:autoSpaceDE w:val="0"/>
                    <w:autoSpaceDN w:val="0"/>
                    <w:snapToGrid w:val="0"/>
                    <w:jc w:val="center"/>
                    <w:rPr>
                      <w:lang w:bidi="ar"/>
                      <w14:ligatures w14:val="standardContextual"/>
                    </w:rPr>
                  </w:pPr>
                  <w:r>
                    <w:rPr>
                      <w:rFonts w:hint="eastAsia"/>
                      <w:lang w:bidi="ar"/>
                      <w14:ligatures w14:val="standardContextual"/>
                    </w:rPr>
                    <w:t>SS</w:t>
                  </w:r>
                </w:p>
              </w:tc>
              <w:tc>
                <w:tcPr>
                  <w:tcW w:w="2043" w:type="dxa"/>
                  <w:vAlign w:val="center"/>
                </w:tcPr>
                <w:p w14:paraId="53D7E79B">
                  <w:pPr>
                    <w:widowControl w:val="0"/>
                    <w:overflowPunct w:val="0"/>
                    <w:autoSpaceDE w:val="0"/>
                    <w:autoSpaceDN w:val="0"/>
                    <w:snapToGrid w:val="0"/>
                    <w:jc w:val="center"/>
                    <w:rPr>
                      <w:lang w:bidi="ar"/>
                      <w14:ligatures w14:val="standardContextual"/>
                    </w:rPr>
                  </w:pPr>
                  <w:r>
                    <w:rPr>
                      <w:rFonts w:hint="eastAsia"/>
                      <w14:ligatures w14:val="standardContextual"/>
                    </w:rPr>
                    <w:t>4.8</w:t>
                  </w:r>
                  <w:r>
                    <w:rPr>
                      <w:rFonts w:hint="eastAsia"/>
                      <w:lang w:bidi="ar"/>
                      <w14:ligatures w14:val="standardContextual"/>
                    </w:rPr>
                    <w:t>(</w:t>
                  </w:r>
                  <w:r>
                    <w:rPr>
                      <w:rFonts w:hint="eastAsia"/>
                      <w14:ligatures w14:val="standardContextual"/>
                    </w:rPr>
                    <w:t>mg/L)</w:t>
                  </w:r>
                </w:p>
              </w:tc>
              <w:tc>
                <w:tcPr>
                  <w:tcW w:w="1450" w:type="pct"/>
                  <w:vAlign w:val="center"/>
                </w:tcPr>
                <w:p w14:paraId="1CDD0452">
                  <w:pPr>
                    <w:widowControl w:val="0"/>
                    <w:overflowPunct w:val="0"/>
                    <w:autoSpaceDE w:val="0"/>
                    <w:autoSpaceDN w:val="0"/>
                    <w:snapToGrid w:val="0"/>
                    <w:jc w:val="center"/>
                    <w:rPr>
                      <w:lang w:bidi="ar"/>
                      <w14:ligatures w14:val="standardContextual"/>
                    </w:rPr>
                  </w:pPr>
                  <w:r>
                    <w:rPr>
                      <w:rFonts w:hint="eastAsia"/>
                      <w:lang w:bidi="ar"/>
                      <w14:ligatures w14:val="standardContextual"/>
                    </w:rPr>
                    <w:t>人为增加的量≤100</w:t>
                  </w:r>
                </w:p>
              </w:tc>
              <w:tc>
                <w:tcPr>
                  <w:tcW w:w="940" w:type="pct"/>
                  <w:vAlign w:val="center"/>
                </w:tcPr>
                <w:p w14:paraId="65FB7D8D">
                  <w:pPr>
                    <w:widowControl w:val="0"/>
                    <w:overflowPunct w:val="0"/>
                    <w:autoSpaceDE w:val="0"/>
                    <w:autoSpaceDN w:val="0"/>
                    <w:snapToGrid w:val="0"/>
                    <w:jc w:val="center"/>
                    <w:rPr>
                      <w:lang w:bidi="ar"/>
                      <w14:ligatures w14:val="standardContextual"/>
                    </w:rPr>
                  </w:pPr>
                  <w:r>
                    <w:rPr>
                      <w:rFonts w:hint="eastAsia"/>
                      <w:lang w:bidi="ar"/>
                      <w14:ligatures w14:val="standardContextual"/>
                    </w:rPr>
                    <w:t>达标</w:t>
                  </w:r>
                </w:p>
              </w:tc>
            </w:tr>
            <w:tr w14:paraId="5253C1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64" w:hRule="atLeast"/>
                <w:jc w:val="center"/>
              </w:trPr>
              <w:tc>
                <w:tcPr>
                  <w:tcW w:w="1342" w:type="pct"/>
                  <w:vAlign w:val="center"/>
                </w:tcPr>
                <w:p w14:paraId="05B78556">
                  <w:pPr>
                    <w:widowControl w:val="0"/>
                    <w:overflowPunct w:val="0"/>
                    <w:autoSpaceDE w:val="0"/>
                    <w:autoSpaceDN w:val="0"/>
                    <w:snapToGrid w:val="0"/>
                    <w:jc w:val="center"/>
                    <w:rPr>
                      <w:lang w:bidi="ar"/>
                      <w14:ligatures w14:val="standardContextual"/>
                    </w:rPr>
                  </w:pPr>
                  <w:r>
                    <w:rPr>
                      <w:rFonts w:hint="eastAsia"/>
                      <w:lang w:bidi="ar"/>
                      <w14:ligatures w14:val="standardContextual"/>
                    </w:rPr>
                    <w:t>DO</w:t>
                  </w:r>
                </w:p>
              </w:tc>
              <w:tc>
                <w:tcPr>
                  <w:tcW w:w="2043" w:type="dxa"/>
                  <w:vAlign w:val="center"/>
                </w:tcPr>
                <w:p w14:paraId="6C82F341">
                  <w:pPr>
                    <w:widowControl w:val="0"/>
                    <w:overflowPunct w:val="0"/>
                    <w:autoSpaceDE w:val="0"/>
                    <w:autoSpaceDN w:val="0"/>
                    <w:snapToGrid w:val="0"/>
                    <w:jc w:val="center"/>
                    <w:rPr>
                      <w:lang w:bidi="ar"/>
                      <w14:ligatures w14:val="standardContextual"/>
                    </w:rPr>
                  </w:pPr>
                  <w:r>
                    <w:rPr>
                      <w:rFonts w:hint="eastAsia"/>
                      <w:lang w:bidi="ar"/>
                      <w14:ligatures w14:val="standardContextual"/>
                    </w:rPr>
                    <w:t>6.27(</w:t>
                  </w:r>
                  <w:r>
                    <w:rPr>
                      <w:rFonts w:hint="eastAsia"/>
                      <w14:ligatures w14:val="standardContextual"/>
                    </w:rPr>
                    <w:t>mg/L)</w:t>
                  </w:r>
                </w:p>
              </w:tc>
              <w:tc>
                <w:tcPr>
                  <w:tcW w:w="1450" w:type="pct"/>
                  <w:vAlign w:val="center"/>
                </w:tcPr>
                <w:p w14:paraId="76BAFB99">
                  <w:pPr>
                    <w:widowControl w:val="0"/>
                    <w:overflowPunct w:val="0"/>
                    <w:autoSpaceDE w:val="0"/>
                    <w:autoSpaceDN w:val="0"/>
                    <w:snapToGrid w:val="0"/>
                    <w:jc w:val="center"/>
                    <w:rPr>
                      <w:lang w:bidi="ar"/>
                      <w14:ligatures w14:val="standardContextual"/>
                    </w:rPr>
                  </w:pPr>
                  <w:r>
                    <w:rPr>
                      <w:rFonts w:hint="eastAsia"/>
                      <w:lang w:bidi="ar"/>
                      <w14:ligatures w14:val="standardContextual"/>
                    </w:rPr>
                    <w:t>＞3(</w:t>
                  </w:r>
                  <w:r>
                    <w:rPr>
                      <w:rFonts w:hint="eastAsia"/>
                      <w14:ligatures w14:val="standardContextual"/>
                    </w:rPr>
                    <w:t>mg/L)</w:t>
                  </w:r>
                </w:p>
              </w:tc>
              <w:tc>
                <w:tcPr>
                  <w:tcW w:w="940" w:type="pct"/>
                  <w:vAlign w:val="center"/>
                </w:tcPr>
                <w:p w14:paraId="7E530780">
                  <w:pPr>
                    <w:widowControl w:val="0"/>
                    <w:overflowPunct w:val="0"/>
                    <w:autoSpaceDE w:val="0"/>
                    <w:autoSpaceDN w:val="0"/>
                    <w:snapToGrid w:val="0"/>
                    <w:jc w:val="center"/>
                    <w:rPr>
                      <w:lang w:bidi="ar"/>
                      <w14:ligatures w14:val="standardContextual"/>
                    </w:rPr>
                  </w:pPr>
                  <w:r>
                    <w:rPr>
                      <w:rFonts w:hint="eastAsia"/>
                      <w:lang w:bidi="ar"/>
                      <w14:ligatures w14:val="standardContextual"/>
                    </w:rPr>
                    <w:t>达标</w:t>
                  </w:r>
                </w:p>
              </w:tc>
            </w:tr>
            <w:tr w14:paraId="4A4FEA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342" w:type="pct"/>
                  <w:vAlign w:val="center"/>
                </w:tcPr>
                <w:p w14:paraId="7232F2AF">
                  <w:pPr>
                    <w:widowControl w:val="0"/>
                    <w:overflowPunct w:val="0"/>
                    <w:autoSpaceDE w:val="0"/>
                    <w:autoSpaceDN w:val="0"/>
                    <w:snapToGrid w:val="0"/>
                    <w:jc w:val="center"/>
                    <w:rPr>
                      <w:lang w:bidi="ar"/>
                      <w14:ligatures w14:val="standardContextual"/>
                    </w:rPr>
                  </w:pPr>
                  <w:r>
                    <w:rPr>
                      <w:rFonts w:hint="eastAsia"/>
                      <w:lang w:bidi="ar"/>
                      <w14:ligatures w14:val="standardContextual"/>
                    </w:rPr>
                    <w:t>COD</w:t>
                  </w:r>
                </w:p>
              </w:tc>
              <w:tc>
                <w:tcPr>
                  <w:tcW w:w="2043" w:type="dxa"/>
                  <w:vAlign w:val="center"/>
                </w:tcPr>
                <w:p w14:paraId="279523B4">
                  <w:pPr>
                    <w:widowControl w:val="0"/>
                    <w:overflowPunct w:val="0"/>
                    <w:autoSpaceDE w:val="0"/>
                    <w:autoSpaceDN w:val="0"/>
                    <w:snapToGrid w:val="0"/>
                    <w:jc w:val="center"/>
                    <w:rPr>
                      <w:lang w:bidi="ar"/>
                      <w14:ligatures w14:val="standardContextual"/>
                    </w:rPr>
                  </w:pPr>
                  <w:r>
                    <w:rPr>
                      <w:rFonts w:hint="eastAsia"/>
                      <w:lang w:bidi="ar"/>
                      <w14:ligatures w14:val="standardContextual"/>
                    </w:rPr>
                    <w:t>1.58(</w:t>
                  </w:r>
                  <w:r>
                    <w:rPr>
                      <w:rFonts w:hint="eastAsia"/>
                      <w14:ligatures w14:val="standardContextual"/>
                    </w:rPr>
                    <w:t>mg/L)</w:t>
                  </w:r>
                </w:p>
              </w:tc>
              <w:tc>
                <w:tcPr>
                  <w:tcW w:w="1450" w:type="pct"/>
                  <w:vAlign w:val="center"/>
                </w:tcPr>
                <w:p w14:paraId="1F877B3F">
                  <w:pPr>
                    <w:widowControl w:val="0"/>
                    <w:overflowPunct w:val="0"/>
                    <w:autoSpaceDE w:val="0"/>
                    <w:autoSpaceDN w:val="0"/>
                    <w:snapToGrid w:val="0"/>
                    <w:jc w:val="center"/>
                    <w:rPr>
                      <w:lang w:bidi="ar"/>
                      <w14:ligatures w14:val="standardContextual"/>
                    </w:rPr>
                  </w:pPr>
                  <w:r>
                    <w:rPr>
                      <w:rFonts w:hint="eastAsia"/>
                      <w:lang w:bidi="ar"/>
                      <w14:ligatures w14:val="standardContextual"/>
                    </w:rPr>
                    <w:t>≤5(</w:t>
                  </w:r>
                  <w:r>
                    <w:rPr>
                      <w:rFonts w:hint="eastAsia"/>
                      <w14:ligatures w14:val="standardContextual"/>
                    </w:rPr>
                    <w:t>mg/L)</w:t>
                  </w:r>
                </w:p>
              </w:tc>
              <w:tc>
                <w:tcPr>
                  <w:tcW w:w="940" w:type="pct"/>
                  <w:vAlign w:val="center"/>
                </w:tcPr>
                <w:p w14:paraId="2B8FE4F9">
                  <w:pPr>
                    <w:widowControl w:val="0"/>
                    <w:overflowPunct w:val="0"/>
                    <w:autoSpaceDE w:val="0"/>
                    <w:autoSpaceDN w:val="0"/>
                    <w:snapToGrid w:val="0"/>
                    <w:jc w:val="center"/>
                    <w:rPr>
                      <w:lang w:bidi="ar"/>
                      <w14:ligatures w14:val="standardContextual"/>
                    </w:rPr>
                  </w:pPr>
                  <w:r>
                    <w:rPr>
                      <w:rFonts w:hint="eastAsia"/>
                      <w:lang w:bidi="ar"/>
                      <w14:ligatures w14:val="standardContextual"/>
                    </w:rPr>
                    <w:t>达标</w:t>
                  </w:r>
                </w:p>
              </w:tc>
            </w:tr>
            <w:tr w14:paraId="1E3E0A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05" w:hRule="atLeast"/>
                <w:jc w:val="center"/>
              </w:trPr>
              <w:tc>
                <w:tcPr>
                  <w:tcW w:w="1342" w:type="pct"/>
                  <w:vAlign w:val="center"/>
                </w:tcPr>
                <w:p w14:paraId="76D35E32">
                  <w:pPr>
                    <w:widowControl w:val="0"/>
                    <w:overflowPunct w:val="0"/>
                    <w:autoSpaceDE w:val="0"/>
                    <w:autoSpaceDN w:val="0"/>
                    <w:snapToGrid w:val="0"/>
                    <w:jc w:val="center"/>
                    <w:rPr>
                      <w:lang w:bidi="ar"/>
                      <w14:ligatures w14:val="standardContextual"/>
                    </w:rPr>
                  </w:pPr>
                  <w:r>
                    <w:rPr>
                      <w:rFonts w:hint="eastAsia"/>
                      <w:lang w:bidi="ar"/>
                      <w14:ligatures w14:val="standardContextual"/>
                    </w:rPr>
                    <w:t>BOD</w:t>
                  </w:r>
                  <w:r>
                    <w:rPr>
                      <w:rFonts w:hint="eastAsia"/>
                      <w:vertAlign w:val="subscript"/>
                      <w:lang w:bidi="ar"/>
                      <w14:ligatures w14:val="standardContextual"/>
                    </w:rPr>
                    <w:t>5</w:t>
                  </w:r>
                </w:p>
              </w:tc>
              <w:tc>
                <w:tcPr>
                  <w:tcW w:w="2043" w:type="dxa"/>
                  <w:vAlign w:val="center"/>
                </w:tcPr>
                <w:p w14:paraId="25D1A412">
                  <w:pPr>
                    <w:widowControl w:val="0"/>
                    <w:overflowPunct w:val="0"/>
                    <w:autoSpaceDE w:val="0"/>
                    <w:autoSpaceDN w:val="0"/>
                    <w:snapToGrid w:val="0"/>
                    <w:jc w:val="center"/>
                    <w:rPr>
                      <w:lang w:bidi="ar"/>
                      <w14:ligatures w14:val="standardContextual"/>
                    </w:rPr>
                  </w:pPr>
                  <w:r>
                    <w:rPr>
                      <w:rFonts w:hint="eastAsia"/>
                      <w14:ligatures w14:val="standardContextual"/>
                    </w:rPr>
                    <w:t>1.26</w:t>
                  </w:r>
                  <w:r>
                    <w:rPr>
                      <w:rFonts w:hint="eastAsia"/>
                      <w:lang w:bidi="ar"/>
                      <w14:ligatures w14:val="standardContextual"/>
                    </w:rPr>
                    <w:t>(</w:t>
                  </w:r>
                  <w:r>
                    <w:rPr>
                      <w:rFonts w:hint="eastAsia"/>
                      <w14:ligatures w14:val="standardContextual"/>
                    </w:rPr>
                    <w:t>mg/L)</w:t>
                  </w:r>
                </w:p>
              </w:tc>
              <w:tc>
                <w:tcPr>
                  <w:tcW w:w="1450" w:type="pct"/>
                  <w:vAlign w:val="center"/>
                </w:tcPr>
                <w:p w14:paraId="768FFC69">
                  <w:pPr>
                    <w:widowControl w:val="0"/>
                    <w:overflowPunct w:val="0"/>
                    <w:autoSpaceDE w:val="0"/>
                    <w:autoSpaceDN w:val="0"/>
                    <w:snapToGrid w:val="0"/>
                    <w:jc w:val="center"/>
                    <w:rPr>
                      <w:lang w:bidi="ar"/>
                      <w14:ligatures w14:val="standardContextual"/>
                    </w:rPr>
                  </w:pPr>
                  <w:r>
                    <w:rPr>
                      <w:rFonts w:hint="eastAsia"/>
                      <w:lang w:bidi="ar"/>
                      <w14:ligatures w14:val="standardContextual"/>
                    </w:rPr>
                    <w:t>≤5(</w:t>
                  </w:r>
                  <w:r>
                    <w:rPr>
                      <w:rFonts w:hint="eastAsia"/>
                      <w14:ligatures w14:val="standardContextual"/>
                    </w:rPr>
                    <w:t>mg/L)</w:t>
                  </w:r>
                </w:p>
              </w:tc>
              <w:tc>
                <w:tcPr>
                  <w:tcW w:w="940" w:type="pct"/>
                  <w:vAlign w:val="center"/>
                </w:tcPr>
                <w:p w14:paraId="0CD338FD">
                  <w:pPr>
                    <w:widowControl w:val="0"/>
                    <w:overflowPunct w:val="0"/>
                    <w:autoSpaceDE w:val="0"/>
                    <w:autoSpaceDN w:val="0"/>
                    <w:snapToGrid w:val="0"/>
                    <w:jc w:val="center"/>
                    <w:rPr>
                      <w:lang w:bidi="ar"/>
                      <w14:ligatures w14:val="standardContextual"/>
                    </w:rPr>
                  </w:pPr>
                  <w:r>
                    <w:rPr>
                      <w:rFonts w:hint="eastAsia"/>
                      <w:lang w:bidi="ar"/>
                      <w14:ligatures w14:val="standardContextual"/>
                    </w:rPr>
                    <w:t>达标</w:t>
                  </w:r>
                </w:p>
              </w:tc>
            </w:tr>
            <w:tr w14:paraId="1AA90F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04" w:hRule="atLeast"/>
                <w:jc w:val="center"/>
              </w:trPr>
              <w:tc>
                <w:tcPr>
                  <w:tcW w:w="1342" w:type="pct"/>
                  <w:vAlign w:val="center"/>
                </w:tcPr>
                <w:p w14:paraId="4D2C03E8">
                  <w:pPr>
                    <w:widowControl w:val="0"/>
                    <w:overflowPunct w:val="0"/>
                    <w:autoSpaceDE w:val="0"/>
                    <w:autoSpaceDN w:val="0"/>
                    <w:snapToGrid w:val="0"/>
                    <w:jc w:val="center"/>
                    <w:rPr>
                      <w:lang w:bidi="ar"/>
                      <w14:ligatures w14:val="standardContextual"/>
                    </w:rPr>
                  </w:pPr>
                  <w:r>
                    <w:rPr>
                      <w:rFonts w:hint="eastAsia"/>
                      <w:lang w:bidi="ar"/>
                      <w14:ligatures w14:val="standardContextual"/>
                    </w:rPr>
                    <w:t>无机氮</w:t>
                  </w:r>
                </w:p>
              </w:tc>
              <w:tc>
                <w:tcPr>
                  <w:tcW w:w="2043" w:type="dxa"/>
                  <w:vAlign w:val="center"/>
                </w:tcPr>
                <w:p w14:paraId="2C9EC78E">
                  <w:pPr>
                    <w:widowControl w:val="0"/>
                    <w:overflowPunct w:val="0"/>
                    <w:autoSpaceDE w:val="0"/>
                    <w:autoSpaceDN w:val="0"/>
                    <w:snapToGrid w:val="0"/>
                    <w:jc w:val="center"/>
                    <w:rPr>
                      <w:lang w:bidi="ar"/>
                      <w14:ligatures w14:val="standardContextual"/>
                    </w:rPr>
                  </w:pPr>
                  <w:r>
                    <w:rPr>
                      <w:rFonts w:hint="eastAsia"/>
                      <w:lang w:bidi="ar"/>
                      <w14:ligatures w14:val="standardContextual"/>
                    </w:rPr>
                    <w:t>0.7263(</w:t>
                  </w:r>
                  <w:r>
                    <w:rPr>
                      <w:rFonts w:hint="eastAsia"/>
                      <w14:ligatures w14:val="standardContextual"/>
                    </w:rPr>
                    <w:t>mg/L)</w:t>
                  </w:r>
                </w:p>
              </w:tc>
              <w:tc>
                <w:tcPr>
                  <w:tcW w:w="1450" w:type="pct"/>
                  <w:vAlign w:val="center"/>
                </w:tcPr>
                <w:p w14:paraId="625A581E">
                  <w:pPr>
                    <w:widowControl w:val="0"/>
                    <w:overflowPunct w:val="0"/>
                    <w:autoSpaceDE w:val="0"/>
                    <w:autoSpaceDN w:val="0"/>
                    <w:snapToGrid w:val="0"/>
                    <w:jc w:val="center"/>
                    <w:rPr>
                      <w:lang w:bidi="ar"/>
                      <w14:ligatures w14:val="standardContextual"/>
                    </w:rPr>
                  </w:pPr>
                  <w:r>
                    <w:rPr>
                      <w:rFonts w:hint="eastAsia"/>
                      <w:lang w:bidi="ar"/>
                      <w14:ligatures w14:val="standardContextual"/>
                    </w:rPr>
                    <w:t>≤0.50(</w:t>
                  </w:r>
                  <w:r>
                    <w:rPr>
                      <w:rFonts w:hint="eastAsia"/>
                      <w14:ligatures w14:val="standardContextual"/>
                    </w:rPr>
                    <w:t>mg/L)</w:t>
                  </w:r>
                </w:p>
              </w:tc>
              <w:tc>
                <w:tcPr>
                  <w:tcW w:w="940" w:type="pct"/>
                  <w:vAlign w:val="center"/>
                </w:tcPr>
                <w:p w14:paraId="3EF36651">
                  <w:pPr>
                    <w:widowControl w:val="0"/>
                    <w:overflowPunct w:val="0"/>
                    <w:autoSpaceDE w:val="0"/>
                    <w:autoSpaceDN w:val="0"/>
                    <w:snapToGrid w:val="0"/>
                    <w:jc w:val="center"/>
                    <w:rPr>
                      <w:lang w:bidi="ar"/>
                      <w14:ligatures w14:val="standardContextual"/>
                    </w:rPr>
                  </w:pPr>
                  <w:r>
                    <w:rPr>
                      <w:rFonts w:hint="eastAsia"/>
                      <w:lang w:bidi="ar"/>
                      <w14:ligatures w14:val="standardContextual"/>
                    </w:rPr>
                    <w:t>超标</w:t>
                  </w:r>
                </w:p>
              </w:tc>
            </w:tr>
            <w:tr w14:paraId="08B8A7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342" w:type="pct"/>
                  <w:vAlign w:val="center"/>
                </w:tcPr>
                <w:p w14:paraId="62B49AC7">
                  <w:pPr>
                    <w:widowControl w:val="0"/>
                    <w:overflowPunct w:val="0"/>
                    <w:autoSpaceDE w:val="0"/>
                    <w:autoSpaceDN w:val="0"/>
                    <w:snapToGrid w:val="0"/>
                    <w:jc w:val="center"/>
                    <w:rPr>
                      <w:lang w:bidi="ar"/>
                      <w14:ligatures w14:val="standardContextual"/>
                    </w:rPr>
                  </w:pPr>
                  <w:r>
                    <w:rPr>
                      <w:rFonts w:hint="eastAsia"/>
                      <w:lang w:bidi="ar"/>
                      <w14:ligatures w14:val="standardContextual"/>
                    </w:rPr>
                    <w:t>活性磷酸盐</w:t>
                  </w:r>
                </w:p>
              </w:tc>
              <w:tc>
                <w:tcPr>
                  <w:tcW w:w="2043" w:type="dxa"/>
                  <w:vAlign w:val="center"/>
                </w:tcPr>
                <w:p w14:paraId="45A2B1B0">
                  <w:pPr>
                    <w:widowControl w:val="0"/>
                    <w:overflowPunct w:val="0"/>
                    <w:autoSpaceDE w:val="0"/>
                    <w:autoSpaceDN w:val="0"/>
                    <w:snapToGrid w:val="0"/>
                    <w:jc w:val="center"/>
                    <w:rPr>
                      <w:lang w:bidi="ar"/>
                      <w14:ligatures w14:val="standardContextual"/>
                    </w:rPr>
                  </w:pPr>
                  <w:r>
                    <w:rPr>
                      <w:rFonts w:hint="eastAsia"/>
                      <w:lang w:bidi="ar"/>
                      <w14:ligatures w14:val="standardContextual"/>
                    </w:rPr>
                    <w:t>0.041(</w:t>
                  </w:r>
                  <w:r>
                    <w:rPr>
                      <w:rFonts w:hint="eastAsia"/>
                      <w14:ligatures w14:val="standardContextual"/>
                    </w:rPr>
                    <w:t>mg/L)</w:t>
                  </w:r>
                </w:p>
              </w:tc>
              <w:tc>
                <w:tcPr>
                  <w:tcW w:w="1450" w:type="pct"/>
                  <w:vAlign w:val="center"/>
                </w:tcPr>
                <w:p w14:paraId="0D878E46">
                  <w:pPr>
                    <w:widowControl w:val="0"/>
                    <w:overflowPunct w:val="0"/>
                    <w:autoSpaceDE w:val="0"/>
                    <w:autoSpaceDN w:val="0"/>
                    <w:snapToGrid w:val="0"/>
                    <w:jc w:val="center"/>
                    <w:rPr>
                      <w:lang w:bidi="ar"/>
                      <w14:ligatures w14:val="standardContextual"/>
                    </w:rPr>
                  </w:pPr>
                  <w:r>
                    <w:rPr>
                      <w:rFonts w:hint="eastAsia"/>
                      <w:lang w:bidi="ar"/>
                      <w14:ligatures w14:val="standardContextual"/>
                    </w:rPr>
                    <w:t>≤0.045(</w:t>
                  </w:r>
                  <w:r>
                    <w:rPr>
                      <w:rFonts w:hint="eastAsia"/>
                      <w14:ligatures w14:val="standardContextual"/>
                    </w:rPr>
                    <w:t>mg/L)</w:t>
                  </w:r>
                </w:p>
              </w:tc>
              <w:tc>
                <w:tcPr>
                  <w:tcW w:w="940" w:type="pct"/>
                  <w:vAlign w:val="center"/>
                </w:tcPr>
                <w:p w14:paraId="2469C509">
                  <w:pPr>
                    <w:widowControl w:val="0"/>
                    <w:overflowPunct w:val="0"/>
                    <w:autoSpaceDE w:val="0"/>
                    <w:autoSpaceDN w:val="0"/>
                    <w:snapToGrid w:val="0"/>
                    <w:jc w:val="center"/>
                    <w:rPr>
                      <w:lang w:bidi="ar"/>
                      <w14:ligatures w14:val="standardContextual"/>
                    </w:rPr>
                  </w:pPr>
                  <w:r>
                    <w:rPr>
                      <w:rFonts w:hint="eastAsia"/>
                      <w:lang w:bidi="ar"/>
                      <w14:ligatures w14:val="standardContextual"/>
                    </w:rPr>
                    <w:t>达标</w:t>
                  </w:r>
                </w:p>
              </w:tc>
            </w:tr>
            <w:tr w14:paraId="5D4531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342" w:type="pct"/>
                  <w:vAlign w:val="center"/>
                </w:tcPr>
                <w:p w14:paraId="2EF2A9C4">
                  <w:pPr>
                    <w:widowControl w:val="0"/>
                    <w:overflowPunct w:val="0"/>
                    <w:autoSpaceDE w:val="0"/>
                    <w:autoSpaceDN w:val="0"/>
                    <w:snapToGrid w:val="0"/>
                    <w:jc w:val="center"/>
                    <w:rPr>
                      <w:lang w:bidi="ar"/>
                      <w14:ligatures w14:val="standardContextual"/>
                    </w:rPr>
                  </w:pPr>
                  <w:r>
                    <w:rPr>
                      <w:rFonts w:hint="eastAsia"/>
                      <w:lang w:bidi="ar"/>
                      <w14:ligatures w14:val="standardContextual"/>
                    </w:rPr>
                    <w:t>Pb</w:t>
                  </w:r>
                </w:p>
              </w:tc>
              <w:tc>
                <w:tcPr>
                  <w:tcW w:w="2043" w:type="dxa"/>
                  <w:vAlign w:val="center"/>
                </w:tcPr>
                <w:p w14:paraId="2E678910">
                  <w:pPr>
                    <w:widowControl w:val="0"/>
                    <w:overflowPunct w:val="0"/>
                    <w:autoSpaceDE w:val="0"/>
                    <w:autoSpaceDN w:val="0"/>
                    <w:snapToGrid w:val="0"/>
                    <w:jc w:val="center"/>
                    <w:rPr>
                      <w:lang w:bidi="ar"/>
                      <w14:ligatures w14:val="standardContextual"/>
                    </w:rPr>
                  </w:pPr>
                  <w:r>
                    <w:rPr>
                      <w:rFonts w:hint="eastAsia"/>
                      <w:lang w:bidi="ar"/>
                      <w14:ligatures w14:val="standardContextual"/>
                    </w:rPr>
                    <w:t>1.04(</w:t>
                  </w:r>
                  <w:r>
                    <w:rPr>
                      <w:rFonts w:hint="eastAsia"/>
                      <w14:ligatures w14:val="standardContextual"/>
                    </w:rPr>
                    <w:t>µg/L</w:t>
                  </w:r>
                  <w:r>
                    <w:rPr>
                      <w:rFonts w:hint="eastAsia"/>
                      <w:lang w:bidi="ar"/>
                      <w14:ligatures w14:val="standardContextual"/>
                    </w:rPr>
                    <w:t>)</w:t>
                  </w:r>
                </w:p>
              </w:tc>
              <w:tc>
                <w:tcPr>
                  <w:tcW w:w="1450" w:type="pct"/>
                  <w:vAlign w:val="center"/>
                </w:tcPr>
                <w:p w14:paraId="550201E1">
                  <w:pPr>
                    <w:widowControl w:val="0"/>
                    <w:overflowPunct w:val="0"/>
                    <w:autoSpaceDE w:val="0"/>
                    <w:autoSpaceDN w:val="0"/>
                    <w:snapToGrid w:val="0"/>
                    <w:jc w:val="center"/>
                    <w:rPr>
                      <w:lang w:bidi="ar"/>
                      <w14:ligatures w14:val="standardContextual"/>
                    </w:rPr>
                  </w:pPr>
                  <w:r>
                    <w:rPr>
                      <w:rFonts w:hint="eastAsia"/>
                      <w:lang w:bidi="ar"/>
                      <w14:ligatures w14:val="standardContextual"/>
                    </w:rPr>
                    <w:t>≤0.050(</w:t>
                  </w:r>
                  <w:r>
                    <w:rPr>
                      <w:rFonts w:hint="eastAsia"/>
                      <w14:ligatures w14:val="standardContextual"/>
                    </w:rPr>
                    <w:t>mg/L)</w:t>
                  </w:r>
                </w:p>
              </w:tc>
              <w:tc>
                <w:tcPr>
                  <w:tcW w:w="940" w:type="pct"/>
                  <w:vAlign w:val="center"/>
                </w:tcPr>
                <w:p w14:paraId="490EF120">
                  <w:pPr>
                    <w:widowControl w:val="0"/>
                    <w:overflowPunct w:val="0"/>
                    <w:autoSpaceDE w:val="0"/>
                    <w:autoSpaceDN w:val="0"/>
                    <w:snapToGrid w:val="0"/>
                    <w:jc w:val="center"/>
                    <w:rPr>
                      <w:lang w:bidi="ar"/>
                      <w14:ligatures w14:val="standardContextual"/>
                    </w:rPr>
                  </w:pPr>
                  <w:r>
                    <w:rPr>
                      <w:rFonts w:hint="eastAsia"/>
                      <w:lang w:bidi="ar"/>
                      <w14:ligatures w14:val="standardContextual"/>
                    </w:rPr>
                    <w:t>达标</w:t>
                  </w:r>
                </w:p>
              </w:tc>
            </w:tr>
            <w:tr w14:paraId="2BC8F9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342" w:type="pct"/>
                  <w:vAlign w:val="center"/>
                </w:tcPr>
                <w:p w14:paraId="4277335C">
                  <w:pPr>
                    <w:widowControl w:val="0"/>
                    <w:overflowPunct w:val="0"/>
                    <w:autoSpaceDE w:val="0"/>
                    <w:autoSpaceDN w:val="0"/>
                    <w:snapToGrid w:val="0"/>
                    <w:jc w:val="center"/>
                    <w:rPr>
                      <w:lang w:bidi="ar"/>
                      <w14:ligatures w14:val="standardContextual"/>
                    </w:rPr>
                  </w:pPr>
                  <w:r>
                    <w:rPr>
                      <w:rFonts w:hint="eastAsia"/>
                      <w:lang w:bidi="ar"/>
                      <w14:ligatures w14:val="standardContextual"/>
                    </w:rPr>
                    <w:t>Cu</w:t>
                  </w:r>
                </w:p>
              </w:tc>
              <w:tc>
                <w:tcPr>
                  <w:tcW w:w="2043" w:type="dxa"/>
                  <w:vAlign w:val="center"/>
                </w:tcPr>
                <w:p w14:paraId="71FA2B62">
                  <w:pPr>
                    <w:widowControl w:val="0"/>
                    <w:overflowPunct w:val="0"/>
                    <w:autoSpaceDE w:val="0"/>
                    <w:autoSpaceDN w:val="0"/>
                    <w:snapToGrid w:val="0"/>
                    <w:jc w:val="center"/>
                    <w:rPr>
                      <w:lang w:bidi="ar"/>
                      <w14:ligatures w14:val="standardContextual"/>
                    </w:rPr>
                  </w:pPr>
                  <w:r>
                    <w:rPr>
                      <w:rFonts w:hint="eastAsia"/>
                      <w:lang w:bidi="ar"/>
                      <w14:ligatures w14:val="standardContextual"/>
                    </w:rPr>
                    <w:t>&lt;0.6(</w:t>
                  </w:r>
                  <w:r>
                    <w:rPr>
                      <w:rFonts w:hint="eastAsia"/>
                      <w14:ligatures w14:val="standardContextual"/>
                    </w:rPr>
                    <w:t>µg/L</w:t>
                  </w:r>
                  <w:r>
                    <w:rPr>
                      <w:rFonts w:hint="eastAsia"/>
                      <w:lang w:bidi="ar"/>
                      <w14:ligatures w14:val="standardContextual"/>
                    </w:rPr>
                    <w:t>)</w:t>
                  </w:r>
                </w:p>
              </w:tc>
              <w:tc>
                <w:tcPr>
                  <w:tcW w:w="1450" w:type="pct"/>
                  <w:vAlign w:val="center"/>
                </w:tcPr>
                <w:p w14:paraId="255F3C13">
                  <w:pPr>
                    <w:widowControl w:val="0"/>
                    <w:overflowPunct w:val="0"/>
                    <w:autoSpaceDE w:val="0"/>
                    <w:autoSpaceDN w:val="0"/>
                    <w:snapToGrid w:val="0"/>
                    <w:jc w:val="center"/>
                    <w:rPr>
                      <w:lang w:bidi="ar"/>
                      <w14:ligatures w14:val="standardContextual"/>
                    </w:rPr>
                  </w:pPr>
                  <w:r>
                    <w:rPr>
                      <w:rFonts w:hint="eastAsia"/>
                      <w:lang w:bidi="ar"/>
                      <w14:ligatures w14:val="standardContextual"/>
                    </w:rPr>
                    <w:t>≤0.050(</w:t>
                  </w:r>
                  <w:r>
                    <w:rPr>
                      <w:rFonts w:hint="eastAsia"/>
                      <w14:ligatures w14:val="standardContextual"/>
                    </w:rPr>
                    <w:t>mg/L)</w:t>
                  </w:r>
                </w:p>
              </w:tc>
              <w:tc>
                <w:tcPr>
                  <w:tcW w:w="940" w:type="pct"/>
                  <w:vAlign w:val="center"/>
                </w:tcPr>
                <w:p w14:paraId="519066EA">
                  <w:pPr>
                    <w:widowControl w:val="0"/>
                    <w:overflowPunct w:val="0"/>
                    <w:autoSpaceDE w:val="0"/>
                    <w:autoSpaceDN w:val="0"/>
                    <w:snapToGrid w:val="0"/>
                    <w:jc w:val="center"/>
                    <w:rPr>
                      <w:lang w:bidi="ar"/>
                      <w14:ligatures w14:val="standardContextual"/>
                    </w:rPr>
                  </w:pPr>
                  <w:r>
                    <w:rPr>
                      <w:rFonts w:hint="eastAsia"/>
                      <w:lang w:bidi="ar"/>
                      <w14:ligatures w14:val="standardContextual"/>
                    </w:rPr>
                    <w:t>达标</w:t>
                  </w:r>
                </w:p>
              </w:tc>
            </w:tr>
            <w:tr w14:paraId="66D917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342" w:type="pct"/>
                  <w:vAlign w:val="center"/>
                </w:tcPr>
                <w:p w14:paraId="5824CCD2">
                  <w:pPr>
                    <w:widowControl w:val="0"/>
                    <w:overflowPunct w:val="0"/>
                    <w:autoSpaceDE w:val="0"/>
                    <w:autoSpaceDN w:val="0"/>
                    <w:snapToGrid w:val="0"/>
                    <w:jc w:val="center"/>
                    <w:rPr>
                      <w:lang w:bidi="ar"/>
                      <w14:ligatures w14:val="standardContextual"/>
                    </w:rPr>
                  </w:pPr>
                  <w:r>
                    <w:rPr>
                      <w:rFonts w:hint="eastAsia"/>
                      <w:lang w:bidi="ar"/>
                      <w14:ligatures w14:val="standardContextual"/>
                    </w:rPr>
                    <w:t>Zn</w:t>
                  </w:r>
                </w:p>
              </w:tc>
              <w:tc>
                <w:tcPr>
                  <w:tcW w:w="2043" w:type="dxa"/>
                  <w:vAlign w:val="center"/>
                </w:tcPr>
                <w:p w14:paraId="16D284D6">
                  <w:pPr>
                    <w:widowControl w:val="0"/>
                    <w:overflowPunct w:val="0"/>
                    <w:autoSpaceDE w:val="0"/>
                    <w:autoSpaceDN w:val="0"/>
                    <w:snapToGrid w:val="0"/>
                    <w:jc w:val="center"/>
                    <w:rPr>
                      <w:lang w:bidi="ar"/>
                      <w14:ligatures w14:val="standardContextual"/>
                    </w:rPr>
                  </w:pPr>
                  <w:r>
                    <w:rPr>
                      <w:rFonts w:hint="eastAsia"/>
                      <w:lang w:bidi="ar"/>
                      <w14:ligatures w14:val="standardContextual"/>
                    </w:rPr>
                    <w:t>6.96(</w:t>
                  </w:r>
                  <w:r>
                    <w:rPr>
                      <w:rFonts w:hint="eastAsia"/>
                      <w14:ligatures w14:val="standardContextual"/>
                    </w:rPr>
                    <w:t>µg/L</w:t>
                  </w:r>
                  <w:r>
                    <w:rPr>
                      <w:rFonts w:hint="eastAsia"/>
                      <w:lang w:bidi="ar"/>
                      <w14:ligatures w14:val="standardContextual"/>
                    </w:rPr>
                    <w:t>)</w:t>
                  </w:r>
                </w:p>
              </w:tc>
              <w:tc>
                <w:tcPr>
                  <w:tcW w:w="1450" w:type="pct"/>
                  <w:vAlign w:val="center"/>
                </w:tcPr>
                <w:p w14:paraId="253EB27A">
                  <w:pPr>
                    <w:widowControl w:val="0"/>
                    <w:overflowPunct w:val="0"/>
                    <w:autoSpaceDE w:val="0"/>
                    <w:autoSpaceDN w:val="0"/>
                    <w:snapToGrid w:val="0"/>
                    <w:jc w:val="center"/>
                    <w:rPr>
                      <w:lang w:bidi="ar"/>
                      <w14:ligatures w14:val="standardContextual"/>
                    </w:rPr>
                  </w:pPr>
                  <w:r>
                    <w:rPr>
                      <w:rFonts w:hint="eastAsia"/>
                      <w:lang w:bidi="ar"/>
                      <w14:ligatures w14:val="standardContextual"/>
                    </w:rPr>
                    <w:t>≤0.50(</w:t>
                  </w:r>
                  <w:r>
                    <w:rPr>
                      <w:rFonts w:hint="eastAsia"/>
                      <w14:ligatures w14:val="standardContextual"/>
                    </w:rPr>
                    <w:t>mg/L)</w:t>
                  </w:r>
                </w:p>
              </w:tc>
              <w:tc>
                <w:tcPr>
                  <w:tcW w:w="940" w:type="pct"/>
                  <w:vAlign w:val="center"/>
                </w:tcPr>
                <w:p w14:paraId="7151B6A7">
                  <w:pPr>
                    <w:widowControl w:val="0"/>
                    <w:overflowPunct w:val="0"/>
                    <w:autoSpaceDE w:val="0"/>
                    <w:autoSpaceDN w:val="0"/>
                    <w:snapToGrid w:val="0"/>
                    <w:jc w:val="center"/>
                    <w:rPr>
                      <w:lang w:bidi="ar"/>
                      <w14:ligatures w14:val="standardContextual"/>
                    </w:rPr>
                  </w:pPr>
                  <w:r>
                    <w:rPr>
                      <w:rFonts w:hint="eastAsia"/>
                      <w:lang w:bidi="ar"/>
                      <w14:ligatures w14:val="standardContextual"/>
                    </w:rPr>
                    <w:t>达标</w:t>
                  </w:r>
                </w:p>
              </w:tc>
            </w:tr>
            <w:tr w14:paraId="7A5E93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342" w:type="pct"/>
                  <w:vAlign w:val="center"/>
                </w:tcPr>
                <w:p w14:paraId="316E6785">
                  <w:pPr>
                    <w:widowControl w:val="0"/>
                    <w:overflowPunct w:val="0"/>
                    <w:autoSpaceDE w:val="0"/>
                    <w:autoSpaceDN w:val="0"/>
                    <w:snapToGrid w:val="0"/>
                    <w:jc w:val="center"/>
                    <w:rPr>
                      <w:lang w:bidi="ar"/>
                      <w14:ligatures w14:val="standardContextual"/>
                    </w:rPr>
                  </w:pPr>
                  <w:r>
                    <w:rPr>
                      <w:rFonts w:hint="eastAsia"/>
                      <w:lang w:bidi="ar"/>
                      <w14:ligatures w14:val="standardContextual"/>
                    </w:rPr>
                    <w:t>Cd</w:t>
                  </w:r>
                </w:p>
              </w:tc>
              <w:tc>
                <w:tcPr>
                  <w:tcW w:w="2043" w:type="dxa"/>
                  <w:vAlign w:val="center"/>
                </w:tcPr>
                <w:p w14:paraId="73863613">
                  <w:pPr>
                    <w:widowControl w:val="0"/>
                    <w:overflowPunct w:val="0"/>
                    <w:autoSpaceDE w:val="0"/>
                    <w:autoSpaceDN w:val="0"/>
                    <w:snapToGrid w:val="0"/>
                    <w:jc w:val="center"/>
                    <w:rPr>
                      <w:lang w:bidi="ar"/>
                      <w14:ligatures w14:val="standardContextual"/>
                    </w:rPr>
                  </w:pPr>
                  <w:r>
                    <w:rPr>
                      <w:rFonts w:hint="eastAsia"/>
                      <w:lang w:bidi="ar"/>
                      <w14:ligatures w14:val="standardContextual"/>
                    </w:rPr>
                    <w:t>&lt;0.09(</w:t>
                  </w:r>
                  <w:r>
                    <w:rPr>
                      <w:rFonts w:hint="eastAsia"/>
                      <w14:ligatures w14:val="standardContextual"/>
                    </w:rPr>
                    <w:t>µg/L</w:t>
                  </w:r>
                  <w:r>
                    <w:rPr>
                      <w:rFonts w:hint="eastAsia"/>
                      <w:lang w:bidi="ar"/>
                      <w14:ligatures w14:val="standardContextual"/>
                    </w:rPr>
                    <w:t>)</w:t>
                  </w:r>
                </w:p>
              </w:tc>
              <w:tc>
                <w:tcPr>
                  <w:tcW w:w="1450" w:type="pct"/>
                  <w:vAlign w:val="center"/>
                </w:tcPr>
                <w:p w14:paraId="7ED57228">
                  <w:pPr>
                    <w:widowControl w:val="0"/>
                    <w:overflowPunct w:val="0"/>
                    <w:autoSpaceDE w:val="0"/>
                    <w:autoSpaceDN w:val="0"/>
                    <w:snapToGrid w:val="0"/>
                    <w:jc w:val="center"/>
                    <w:rPr>
                      <w:lang w:bidi="ar"/>
                      <w14:ligatures w14:val="standardContextual"/>
                    </w:rPr>
                  </w:pPr>
                  <w:r>
                    <w:rPr>
                      <w:rFonts w:hint="eastAsia"/>
                      <w:lang w:bidi="ar"/>
                      <w14:ligatures w14:val="standardContextual"/>
                    </w:rPr>
                    <w:t>≤0.010(</w:t>
                  </w:r>
                  <w:r>
                    <w:rPr>
                      <w:rFonts w:hint="eastAsia"/>
                      <w14:ligatures w14:val="standardContextual"/>
                    </w:rPr>
                    <w:t>mg/L)</w:t>
                  </w:r>
                </w:p>
              </w:tc>
              <w:tc>
                <w:tcPr>
                  <w:tcW w:w="940" w:type="pct"/>
                  <w:vAlign w:val="center"/>
                </w:tcPr>
                <w:p w14:paraId="5D896117">
                  <w:pPr>
                    <w:widowControl w:val="0"/>
                    <w:overflowPunct w:val="0"/>
                    <w:autoSpaceDE w:val="0"/>
                    <w:autoSpaceDN w:val="0"/>
                    <w:snapToGrid w:val="0"/>
                    <w:jc w:val="center"/>
                    <w:rPr>
                      <w:lang w:bidi="ar"/>
                      <w14:ligatures w14:val="standardContextual"/>
                    </w:rPr>
                  </w:pPr>
                  <w:r>
                    <w:rPr>
                      <w:rFonts w:hint="eastAsia"/>
                      <w:lang w:bidi="ar"/>
                      <w14:ligatures w14:val="standardContextual"/>
                    </w:rPr>
                    <w:t>达标</w:t>
                  </w:r>
                </w:p>
              </w:tc>
            </w:tr>
            <w:tr w14:paraId="6B24B5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342" w:type="pct"/>
                  <w:vAlign w:val="center"/>
                </w:tcPr>
                <w:p w14:paraId="19434382">
                  <w:pPr>
                    <w:widowControl w:val="0"/>
                    <w:overflowPunct w:val="0"/>
                    <w:autoSpaceDE w:val="0"/>
                    <w:autoSpaceDN w:val="0"/>
                    <w:snapToGrid w:val="0"/>
                    <w:jc w:val="center"/>
                    <w:rPr>
                      <w:lang w:bidi="ar"/>
                      <w14:ligatures w14:val="standardContextual"/>
                    </w:rPr>
                  </w:pPr>
                  <w:r>
                    <w:rPr>
                      <w:rFonts w:hint="eastAsia"/>
                      <w:lang w:bidi="ar"/>
                      <w14:ligatures w14:val="standardContextual"/>
                    </w:rPr>
                    <w:t>Cr</w:t>
                  </w:r>
                </w:p>
              </w:tc>
              <w:tc>
                <w:tcPr>
                  <w:tcW w:w="2043" w:type="dxa"/>
                  <w:vAlign w:val="center"/>
                </w:tcPr>
                <w:p w14:paraId="44819C7B">
                  <w:pPr>
                    <w:widowControl w:val="0"/>
                    <w:overflowPunct w:val="0"/>
                    <w:autoSpaceDE w:val="0"/>
                    <w:autoSpaceDN w:val="0"/>
                    <w:snapToGrid w:val="0"/>
                    <w:jc w:val="center"/>
                    <w:rPr>
                      <w:lang w:bidi="ar"/>
                      <w14:ligatures w14:val="standardContextual"/>
                    </w:rPr>
                  </w:pPr>
                  <w:r>
                    <w:rPr>
                      <w:rFonts w:hint="eastAsia"/>
                      <w:lang w:bidi="ar"/>
                      <w14:ligatures w14:val="standardContextual"/>
                    </w:rPr>
                    <w:t>0.9(</w:t>
                  </w:r>
                  <w:r>
                    <w:rPr>
                      <w:rFonts w:hint="eastAsia"/>
                      <w14:ligatures w14:val="standardContextual"/>
                    </w:rPr>
                    <w:t>µg/L</w:t>
                  </w:r>
                  <w:r>
                    <w:rPr>
                      <w:rFonts w:hint="eastAsia"/>
                      <w:lang w:bidi="ar"/>
                      <w14:ligatures w14:val="standardContextual"/>
                    </w:rPr>
                    <w:t>)</w:t>
                  </w:r>
                </w:p>
              </w:tc>
              <w:tc>
                <w:tcPr>
                  <w:tcW w:w="1450" w:type="pct"/>
                  <w:vAlign w:val="center"/>
                </w:tcPr>
                <w:p w14:paraId="3B5CF4BF">
                  <w:pPr>
                    <w:widowControl w:val="0"/>
                    <w:overflowPunct w:val="0"/>
                    <w:autoSpaceDE w:val="0"/>
                    <w:autoSpaceDN w:val="0"/>
                    <w:snapToGrid w:val="0"/>
                    <w:jc w:val="center"/>
                    <w:rPr>
                      <w:lang w:bidi="ar"/>
                      <w14:ligatures w14:val="standardContextual"/>
                    </w:rPr>
                  </w:pPr>
                  <w:r>
                    <w:rPr>
                      <w:rFonts w:hint="eastAsia"/>
                      <w:lang w:bidi="ar"/>
                      <w14:ligatures w14:val="standardContextual"/>
                    </w:rPr>
                    <w:t>≤0.50(</w:t>
                  </w:r>
                  <w:r>
                    <w:rPr>
                      <w:rFonts w:hint="eastAsia"/>
                      <w14:ligatures w14:val="standardContextual"/>
                    </w:rPr>
                    <w:t>mg/L)</w:t>
                  </w:r>
                </w:p>
              </w:tc>
              <w:tc>
                <w:tcPr>
                  <w:tcW w:w="940" w:type="pct"/>
                  <w:vAlign w:val="center"/>
                </w:tcPr>
                <w:p w14:paraId="782629F6">
                  <w:pPr>
                    <w:widowControl w:val="0"/>
                    <w:overflowPunct w:val="0"/>
                    <w:autoSpaceDE w:val="0"/>
                    <w:autoSpaceDN w:val="0"/>
                    <w:snapToGrid w:val="0"/>
                    <w:jc w:val="center"/>
                    <w:rPr>
                      <w:lang w:bidi="ar"/>
                      <w14:ligatures w14:val="standardContextual"/>
                    </w:rPr>
                  </w:pPr>
                  <w:r>
                    <w:rPr>
                      <w:rFonts w:hint="eastAsia"/>
                      <w:lang w:bidi="ar"/>
                      <w14:ligatures w14:val="standardContextual"/>
                    </w:rPr>
                    <w:t>达标</w:t>
                  </w:r>
                </w:p>
              </w:tc>
            </w:tr>
            <w:tr w14:paraId="73CA37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342" w:type="pct"/>
                  <w:vAlign w:val="center"/>
                </w:tcPr>
                <w:p w14:paraId="7A5DA2D3">
                  <w:pPr>
                    <w:widowControl w:val="0"/>
                    <w:overflowPunct w:val="0"/>
                    <w:autoSpaceDE w:val="0"/>
                    <w:autoSpaceDN w:val="0"/>
                    <w:snapToGrid w:val="0"/>
                    <w:jc w:val="center"/>
                    <w:rPr>
                      <w:lang w:bidi="ar"/>
                      <w14:ligatures w14:val="standardContextual"/>
                    </w:rPr>
                  </w:pPr>
                  <w:r>
                    <w:rPr>
                      <w:rFonts w:hint="eastAsia"/>
                      <w:lang w:bidi="ar"/>
                      <w14:ligatures w14:val="standardContextual"/>
                    </w:rPr>
                    <w:t>石油类</w:t>
                  </w:r>
                </w:p>
              </w:tc>
              <w:tc>
                <w:tcPr>
                  <w:tcW w:w="2043" w:type="dxa"/>
                  <w:vAlign w:val="center"/>
                </w:tcPr>
                <w:p w14:paraId="753C6046">
                  <w:pPr>
                    <w:widowControl w:val="0"/>
                    <w:overflowPunct w:val="0"/>
                    <w:autoSpaceDE w:val="0"/>
                    <w:autoSpaceDN w:val="0"/>
                    <w:snapToGrid w:val="0"/>
                    <w:jc w:val="center"/>
                    <w:rPr>
                      <w:lang w:bidi="ar"/>
                      <w14:ligatures w14:val="standardContextual"/>
                    </w:rPr>
                  </w:pPr>
                  <w:r>
                    <w:rPr>
                      <w:rFonts w:hint="eastAsia"/>
                      <w:lang w:bidi="ar"/>
                      <w14:ligatures w14:val="standardContextual"/>
                    </w:rPr>
                    <w:t>18(</w:t>
                  </w:r>
                  <w:r>
                    <w:rPr>
                      <w:rFonts w:hint="eastAsia"/>
                      <w14:ligatures w14:val="standardContextual"/>
                    </w:rPr>
                    <w:t>µg/L</w:t>
                  </w:r>
                  <w:r>
                    <w:rPr>
                      <w:rFonts w:hint="eastAsia"/>
                      <w:lang w:bidi="ar"/>
                      <w14:ligatures w14:val="standardContextual"/>
                    </w:rPr>
                    <w:t>)</w:t>
                  </w:r>
                </w:p>
              </w:tc>
              <w:tc>
                <w:tcPr>
                  <w:tcW w:w="1450" w:type="pct"/>
                  <w:vAlign w:val="center"/>
                </w:tcPr>
                <w:p w14:paraId="284665BA">
                  <w:pPr>
                    <w:widowControl w:val="0"/>
                    <w:overflowPunct w:val="0"/>
                    <w:autoSpaceDE w:val="0"/>
                    <w:autoSpaceDN w:val="0"/>
                    <w:snapToGrid w:val="0"/>
                    <w:jc w:val="center"/>
                    <w:rPr>
                      <w:lang w:bidi="ar"/>
                      <w14:ligatures w14:val="standardContextual"/>
                    </w:rPr>
                  </w:pPr>
                  <w:r>
                    <w:rPr>
                      <w:rFonts w:hint="eastAsia"/>
                      <w:lang w:bidi="ar"/>
                      <w14:ligatures w14:val="standardContextual"/>
                    </w:rPr>
                    <w:t>≤0.50(</w:t>
                  </w:r>
                  <w:r>
                    <w:rPr>
                      <w:rFonts w:hint="eastAsia"/>
                      <w14:ligatures w14:val="standardContextual"/>
                    </w:rPr>
                    <w:t>mg/L)</w:t>
                  </w:r>
                </w:p>
              </w:tc>
              <w:tc>
                <w:tcPr>
                  <w:tcW w:w="940" w:type="pct"/>
                  <w:vAlign w:val="center"/>
                </w:tcPr>
                <w:p w14:paraId="2FB953A2">
                  <w:pPr>
                    <w:widowControl w:val="0"/>
                    <w:overflowPunct w:val="0"/>
                    <w:autoSpaceDE w:val="0"/>
                    <w:autoSpaceDN w:val="0"/>
                    <w:snapToGrid w:val="0"/>
                    <w:jc w:val="center"/>
                    <w:rPr>
                      <w:lang w:bidi="ar"/>
                      <w14:ligatures w14:val="standardContextual"/>
                    </w:rPr>
                  </w:pPr>
                  <w:r>
                    <w:rPr>
                      <w:rFonts w:hint="eastAsia"/>
                      <w:lang w:bidi="ar"/>
                      <w14:ligatures w14:val="standardContextual"/>
                    </w:rPr>
                    <w:t>达标</w:t>
                  </w:r>
                </w:p>
              </w:tc>
            </w:tr>
            <w:tr w14:paraId="4A98DD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342" w:type="pct"/>
                  <w:vAlign w:val="center"/>
                </w:tcPr>
                <w:p w14:paraId="2FB1DF8E">
                  <w:pPr>
                    <w:widowControl w:val="0"/>
                    <w:overflowPunct w:val="0"/>
                    <w:autoSpaceDE w:val="0"/>
                    <w:autoSpaceDN w:val="0"/>
                    <w:snapToGrid w:val="0"/>
                    <w:jc w:val="center"/>
                    <w:rPr>
                      <w:lang w:bidi="ar"/>
                      <w14:ligatures w14:val="standardContextual"/>
                    </w:rPr>
                  </w:pPr>
                  <w:r>
                    <w:rPr>
                      <w:rFonts w:hint="eastAsia"/>
                      <w:lang w:bidi="ar"/>
                      <w14:ligatures w14:val="standardContextual"/>
                    </w:rPr>
                    <w:t>Hg</w:t>
                  </w:r>
                </w:p>
              </w:tc>
              <w:tc>
                <w:tcPr>
                  <w:tcW w:w="2043" w:type="dxa"/>
                  <w:vAlign w:val="center"/>
                </w:tcPr>
                <w:p w14:paraId="55DA1A15">
                  <w:pPr>
                    <w:widowControl w:val="0"/>
                    <w:overflowPunct w:val="0"/>
                    <w:autoSpaceDE w:val="0"/>
                    <w:autoSpaceDN w:val="0"/>
                    <w:snapToGrid w:val="0"/>
                    <w:jc w:val="center"/>
                    <w:rPr>
                      <w:lang w:bidi="ar"/>
                      <w14:ligatures w14:val="standardContextual"/>
                    </w:rPr>
                  </w:pPr>
                  <w:r>
                    <w:rPr>
                      <w:rFonts w:hint="eastAsia"/>
                      <w:lang w:bidi="ar"/>
                      <w14:ligatures w14:val="standardContextual"/>
                    </w:rPr>
                    <w:t>0.042(</w:t>
                  </w:r>
                  <w:r>
                    <w:rPr>
                      <w:rFonts w:hint="eastAsia"/>
                      <w14:ligatures w14:val="standardContextual"/>
                    </w:rPr>
                    <w:t>µg/L</w:t>
                  </w:r>
                  <w:r>
                    <w:rPr>
                      <w:rFonts w:hint="eastAsia"/>
                      <w:lang w:bidi="ar"/>
                      <w14:ligatures w14:val="standardContextual"/>
                    </w:rPr>
                    <w:t>)</w:t>
                  </w:r>
                </w:p>
              </w:tc>
              <w:tc>
                <w:tcPr>
                  <w:tcW w:w="1450" w:type="pct"/>
                  <w:vAlign w:val="center"/>
                </w:tcPr>
                <w:p w14:paraId="2B278D1E">
                  <w:pPr>
                    <w:widowControl w:val="0"/>
                    <w:overflowPunct w:val="0"/>
                    <w:autoSpaceDE w:val="0"/>
                    <w:autoSpaceDN w:val="0"/>
                    <w:snapToGrid w:val="0"/>
                    <w:jc w:val="center"/>
                    <w:rPr>
                      <w:lang w:bidi="ar"/>
                      <w14:ligatures w14:val="standardContextual"/>
                    </w:rPr>
                  </w:pPr>
                  <w:r>
                    <w:rPr>
                      <w:rFonts w:hint="eastAsia"/>
                      <w:lang w:bidi="ar"/>
                      <w14:ligatures w14:val="standardContextual"/>
                    </w:rPr>
                    <w:t>≤0.0005(</w:t>
                  </w:r>
                  <w:r>
                    <w:rPr>
                      <w:rFonts w:hint="eastAsia"/>
                      <w14:ligatures w14:val="standardContextual"/>
                    </w:rPr>
                    <w:t>mg/L)</w:t>
                  </w:r>
                </w:p>
              </w:tc>
              <w:tc>
                <w:tcPr>
                  <w:tcW w:w="940" w:type="pct"/>
                  <w:vAlign w:val="center"/>
                </w:tcPr>
                <w:p w14:paraId="275D8A8C">
                  <w:pPr>
                    <w:widowControl w:val="0"/>
                    <w:overflowPunct w:val="0"/>
                    <w:autoSpaceDE w:val="0"/>
                    <w:autoSpaceDN w:val="0"/>
                    <w:snapToGrid w:val="0"/>
                    <w:jc w:val="center"/>
                    <w:rPr>
                      <w:lang w:bidi="ar"/>
                      <w14:ligatures w14:val="standardContextual"/>
                    </w:rPr>
                  </w:pPr>
                  <w:r>
                    <w:rPr>
                      <w:rFonts w:hint="eastAsia"/>
                      <w:lang w:bidi="ar"/>
                      <w14:ligatures w14:val="standardContextual"/>
                    </w:rPr>
                    <w:t>达标</w:t>
                  </w:r>
                </w:p>
              </w:tc>
            </w:tr>
            <w:tr w14:paraId="35CBA4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342" w:type="pct"/>
                  <w:vAlign w:val="center"/>
                </w:tcPr>
                <w:p w14:paraId="657FCDC3">
                  <w:pPr>
                    <w:widowControl w:val="0"/>
                    <w:overflowPunct w:val="0"/>
                    <w:autoSpaceDE w:val="0"/>
                    <w:autoSpaceDN w:val="0"/>
                    <w:snapToGrid w:val="0"/>
                    <w:jc w:val="center"/>
                    <w:rPr>
                      <w:lang w:bidi="ar"/>
                      <w14:ligatures w14:val="standardContextual"/>
                    </w:rPr>
                  </w:pPr>
                  <w:r>
                    <w:rPr>
                      <w:rFonts w:hint="eastAsia"/>
                      <w:lang w:bidi="ar"/>
                      <w14:ligatures w14:val="standardContextual"/>
                    </w:rPr>
                    <w:t>As</w:t>
                  </w:r>
                </w:p>
              </w:tc>
              <w:tc>
                <w:tcPr>
                  <w:tcW w:w="2043" w:type="dxa"/>
                  <w:vAlign w:val="center"/>
                </w:tcPr>
                <w:p w14:paraId="7305A8D3">
                  <w:pPr>
                    <w:widowControl w:val="0"/>
                    <w:overflowPunct w:val="0"/>
                    <w:autoSpaceDE w:val="0"/>
                    <w:autoSpaceDN w:val="0"/>
                    <w:snapToGrid w:val="0"/>
                    <w:jc w:val="center"/>
                    <w:rPr>
                      <w:lang w:bidi="ar"/>
                      <w14:ligatures w14:val="standardContextual"/>
                    </w:rPr>
                  </w:pPr>
                  <w:r>
                    <w:rPr>
                      <w:rFonts w:hint="eastAsia"/>
                      <w:lang w:bidi="ar"/>
                      <w14:ligatures w14:val="standardContextual"/>
                    </w:rPr>
                    <w:t>0.86(</w:t>
                  </w:r>
                  <w:r>
                    <w:rPr>
                      <w:rFonts w:hint="eastAsia"/>
                      <w14:ligatures w14:val="standardContextual"/>
                    </w:rPr>
                    <w:t>µg/L</w:t>
                  </w:r>
                  <w:r>
                    <w:rPr>
                      <w:rFonts w:hint="eastAsia"/>
                      <w:lang w:bidi="ar"/>
                      <w14:ligatures w14:val="standardContextual"/>
                    </w:rPr>
                    <w:t>)</w:t>
                  </w:r>
                </w:p>
              </w:tc>
              <w:tc>
                <w:tcPr>
                  <w:tcW w:w="1450" w:type="pct"/>
                  <w:vAlign w:val="center"/>
                </w:tcPr>
                <w:p w14:paraId="3B2A9193">
                  <w:pPr>
                    <w:widowControl w:val="0"/>
                    <w:overflowPunct w:val="0"/>
                    <w:autoSpaceDE w:val="0"/>
                    <w:autoSpaceDN w:val="0"/>
                    <w:snapToGrid w:val="0"/>
                    <w:jc w:val="center"/>
                    <w:rPr>
                      <w:lang w:bidi="ar"/>
                      <w14:ligatures w14:val="standardContextual"/>
                    </w:rPr>
                  </w:pPr>
                  <w:r>
                    <w:rPr>
                      <w:rFonts w:hint="eastAsia"/>
                      <w:lang w:bidi="ar"/>
                      <w14:ligatures w14:val="standardContextual"/>
                    </w:rPr>
                    <w:t>≤0.050(</w:t>
                  </w:r>
                  <w:r>
                    <w:rPr>
                      <w:rFonts w:hint="eastAsia"/>
                      <w14:ligatures w14:val="standardContextual"/>
                    </w:rPr>
                    <w:t>mg/L)</w:t>
                  </w:r>
                </w:p>
              </w:tc>
              <w:tc>
                <w:tcPr>
                  <w:tcW w:w="940" w:type="pct"/>
                  <w:vAlign w:val="center"/>
                </w:tcPr>
                <w:p w14:paraId="6B1F9608">
                  <w:pPr>
                    <w:widowControl w:val="0"/>
                    <w:overflowPunct w:val="0"/>
                    <w:autoSpaceDE w:val="0"/>
                    <w:autoSpaceDN w:val="0"/>
                    <w:snapToGrid w:val="0"/>
                    <w:jc w:val="center"/>
                    <w:rPr>
                      <w:lang w:bidi="ar"/>
                      <w14:ligatures w14:val="standardContextual"/>
                    </w:rPr>
                  </w:pPr>
                  <w:r>
                    <w:rPr>
                      <w:rFonts w:hint="eastAsia"/>
                      <w:lang w:bidi="ar"/>
                      <w14:ligatures w14:val="standardContextual"/>
                    </w:rPr>
                    <w:t>达标</w:t>
                  </w:r>
                </w:p>
              </w:tc>
            </w:tr>
          </w:tbl>
          <w:p w14:paraId="455F203B">
            <w:pPr>
              <w:pStyle w:val="3"/>
              <w:ind w:firstLine="480"/>
            </w:pPr>
            <w:r>
              <w:rPr>
                <w:rFonts w:hint="eastAsia"/>
              </w:rPr>
              <w:t>由上表分析可知，除无机氮超标，其他评价因子均满足《海水水质标准》(GB3097-1997)“第四类”标准限值，项目区地表水水质状况总体良好，无机氮超标主要源于附近村民生活及养殖废水未收集处理排海导致。</w:t>
            </w:r>
          </w:p>
          <w:p w14:paraId="29B1B2ED">
            <w:pPr>
              <w:pStyle w:val="7"/>
            </w:pPr>
            <w:r>
              <w:rPr>
                <w:rFonts w:hint="eastAsia"/>
              </w:rPr>
              <w:t>3、声环境</w:t>
            </w:r>
          </w:p>
          <w:p w14:paraId="2129FA74">
            <w:pPr>
              <w:pStyle w:val="3"/>
              <w:ind w:firstLine="480"/>
            </w:pPr>
            <w:r>
              <w:rPr>
                <w:rFonts w:hint="eastAsia"/>
              </w:rPr>
              <w:t>项目所在区域执行《声环境质量标准》(GB3096-2008)3类标准，昼间为65dB(A)，夜间为55dB(A)。</w:t>
            </w:r>
          </w:p>
          <w:p w14:paraId="6279F6A3">
            <w:pPr>
              <w:pStyle w:val="3"/>
              <w:ind w:firstLine="480"/>
            </w:pPr>
            <w:r>
              <w:rPr>
                <w:rFonts w:hint="eastAsia"/>
              </w:rPr>
              <w:t>本项目厂界外周围50米范围内无声环境保护目标，无需进行监测。</w:t>
            </w:r>
          </w:p>
          <w:p w14:paraId="7BF7C023">
            <w:pPr>
              <w:pStyle w:val="7"/>
            </w:pPr>
            <w:r>
              <w:rPr>
                <w:rFonts w:hint="eastAsia"/>
              </w:rPr>
              <w:t>4、地下水、土壤环境质量现状</w:t>
            </w:r>
          </w:p>
          <w:p w14:paraId="6A92FD0B">
            <w:pPr>
              <w:pStyle w:val="3"/>
              <w:ind w:firstLine="480"/>
            </w:pPr>
            <w:r>
              <w:rPr>
                <w:rFonts w:hint="eastAsia"/>
              </w:rPr>
              <w:t>根据《建设项目环境影响报告表编制技术指南（污染影响类）（试行）》：地下水、土壤原则上不开展环境质量现状调查。同时根据项目现场调查可知，本项目位于工业园区内，项目厂界范围外</w:t>
            </w:r>
            <w:r>
              <w:t>500</w:t>
            </w:r>
            <w:r>
              <w:rPr>
                <w:rFonts w:hint="eastAsia"/>
              </w:rPr>
              <w:t>米范围内无集中式饮用水水源和热水、矿泉水、温泉等特殊地下水资源，项目厂房、锅炉房等地面均已做好防腐防渗处理，在生产过程中不存在土壤、地下水污染途径。故不开展地下水、土壤环境现状调查。</w:t>
            </w:r>
          </w:p>
          <w:p w14:paraId="2402726E">
            <w:pPr>
              <w:pStyle w:val="7"/>
            </w:pPr>
            <w:r>
              <w:rPr>
                <w:rFonts w:hint="eastAsia"/>
              </w:rPr>
              <w:t>5、生态环境</w:t>
            </w:r>
          </w:p>
          <w:p w14:paraId="0CEC9ADD">
            <w:pPr>
              <w:pStyle w:val="3"/>
              <w:ind w:firstLine="480"/>
            </w:pPr>
            <w:r>
              <w:rPr>
                <w:rFonts w:hint="eastAsia"/>
              </w:rPr>
              <w:t>本项目位于工业园区内，项目所在地生态环境质量现状一般，生态系统敏感程度一般，根据现场调查，所在区域已经进行了一定程度开发建设，因此生态系统以人工生态系统为主，原有自然生态环境已基本消除；受人为活动长期影响，敏感程度较低。</w:t>
            </w:r>
          </w:p>
        </w:tc>
      </w:tr>
      <w:tr w14:paraId="111C6E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440" w:type="pct"/>
            <w:vAlign w:val="center"/>
          </w:tcPr>
          <w:p w14:paraId="02AA91BD">
            <w:pPr>
              <w:snapToGrid w:val="0"/>
              <w:jc w:val="center"/>
              <w:rPr>
                <w:rFonts w:cs="宋体"/>
                <w:sz w:val="24"/>
              </w:rPr>
            </w:pPr>
            <w:r>
              <w:rPr>
                <w:rFonts w:hint="eastAsia" w:cs="宋体"/>
                <w:sz w:val="24"/>
              </w:rPr>
              <w:t>环境</w:t>
            </w:r>
          </w:p>
          <w:p w14:paraId="64A5AEA3">
            <w:pPr>
              <w:snapToGrid w:val="0"/>
              <w:jc w:val="center"/>
              <w:rPr>
                <w:rFonts w:cs="宋体"/>
                <w:sz w:val="24"/>
              </w:rPr>
            </w:pPr>
            <w:r>
              <w:rPr>
                <w:rFonts w:hint="eastAsia" w:cs="宋体"/>
                <w:sz w:val="24"/>
              </w:rPr>
              <w:t>保护</w:t>
            </w:r>
          </w:p>
          <w:p w14:paraId="43299F26">
            <w:pPr>
              <w:snapToGrid w:val="0"/>
              <w:jc w:val="center"/>
              <w:rPr>
                <w:rFonts w:cs="宋体"/>
                <w:sz w:val="24"/>
              </w:rPr>
            </w:pPr>
            <w:r>
              <w:rPr>
                <w:rFonts w:hint="eastAsia" w:cs="宋体"/>
                <w:sz w:val="24"/>
              </w:rPr>
              <w:t>目标</w:t>
            </w:r>
          </w:p>
        </w:tc>
        <w:tc>
          <w:tcPr>
            <w:tcW w:w="4560" w:type="pct"/>
            <w:vAlign w:val="center"/>
          </w:tcPr>
          <w:p w14:paraId="2ECB4FEB">
            <w:pPr>
              <w:pStyle w:val="3"/>
              <w:ind w:firstLine="480"/>
            </w:pPr>
            <w:r>
              <w:rPr>
                <w:rFonts w:hint="eastAsia"/>
              </w:rPr>
              <w:t>项目位于中马工业园区内，根据现场踏勘，项目所在区域不涉及自然保护区、风景名胜区、森林公园、地质公园、湿地公园、重点保护与珍稀水生生物的栖息地、重要水生生物的自然产卵场及索饵场、越冬场和洄游通道，天然渔场等渔业水体，以及水产种质资源保护区等敏感目标。</w:t>
            </w:r>
          </w:p>
          <w:p w14:paraId="53BAB0D4">
            <w:pPr>
              <w:pStyle w:val="3"/>
              <w:ind w:firstLine="480"/>
            </w:pPr>
            <w:r>
              <w:rPr>
                <w:rFonts w:hint="eastAsia"/>
              </w:rPr>
              <w:t>项目距离金窝水库饮用水源保护区陆域边界约690m，建设项目不在饮用水源地保护范围内；项目50m范围内无声环境保护目标；项目厂界外500m范围内无地下水集中式饮用水水源和热水、矿泉水、温泉等特殊地下水资源。</w:t>
            </w:r>
          </w:p>
          <w:p w14:paraId="2E333697">
            <w:pPr>
              <w:pStyle w:val="49"/>
              <w:ind w:firstLine="480"/>
            </w:pPr>
            <w:bookmarkStart w:id="148" w:name="OLE_LINK51"/>
            <w:r>
              <w:rPr>
                <w:rFonts w:hint="eastAsia"/>
              </w:rPr>
              <w:t>表</w:t>
            </w:r>
            <w:r>
              <w:t>3- 3</w:t>
            </w:r>
            <w:r>
              <w:rPr>
                <w:rFonts w:hint="eastAsia"/>
              </w:rPr>
              <w:t>：</w:t>
            </w:r>
            <w:bookmarkEnd w:id="148"/>
            <w:r>
              <w:rPr>
                <w:rFonts w:hint="eastAsia"/>
              </w:rPr>
              <w:t>评价区域环境保护目标一览表</w:t>
            </w:r>
          </w:p>
          <w:tbl>
            <w:tblPr>
              <w:tblStyle w:val="50"/>
              <w:tblW w:w="793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1056"/>
              <w:gridCol w:w="712"/>
              <w:gridCol w:w="566"/>
              <w:gridCol w:w="568"/>
              <w:gridCol w:w="850"/>
              <w:gridCol w:w="993"/>
              <w:gridCol w:w="567"/>
              <w:gridCol w:w="2626"/>
            </w:tblGrid>
            <w:tr w14:paraId="4C9A73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056" w:type="dxa"/>
                  <w:vMerge w:val="restart"/>
                  <w:tcBorders>
                    <w:top w:val="single" w:color="auto" w:sz="12" w:space="0"/>
                    <w:left w:val="nil"/>
                    <w:bottom w:val="single" w:color="auto" w:sz="4" w:space="0"/>
                    <w:right w:val="single" w:color="auto" w:sz="4" w:space="0"/>
                    <w:insideV w:val="single" w:sz="4" w:space="0"/>
                    <w:tl2br w:val="nil"/>
                    <w:tr2bl w:val="nil"/>
                  </w:tcBorders>
                  <w:vAlign w:val="center"/>
                </w:tcPr>
                <w:p w14:paraId="7DC211F3">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val="0"/>
                      <w:i w:val="0"/>
                      <w:sz w:val="21"/>
                      <w:szCs w:val="21"/>
                      <w14:ligatures w14:val="standardContextual"/>
                    </w:rPr>
                  </w:pPr>
                  <w:r>
                    <w:rPr>
                      <w:rFonts w:hint="eastAsia" w:ascii="Times New Roman" w:hAnsi="Times New Roman" w:eastAsia="宋体" w:cs="Times New Roman"/>
                      <w:b/>
                      <w:i w:val="0"/>
                      <w:sz w:val="21"/>
                      <w:szCs w:val="21"/>
                      <w14:ligatures w14:val="standardContextual"/>
                    </w:rPr>
                    <w:t>环境要素</w:t>
                  </w:r>
                </w:p>
              </w:tc>
              <w:tc>
                <w:tcPr>
                  <w:tcW w:w="712" w:type="dxa"/>
                  <w:vMerge w:val="restart"/>
                  <w:tcBorders>
                    <w:top w:val="single" w:color="auto" w:sz="12" w:space="0"/>
                    <w:bottom w:val="single" w:color="auto" w:sz="4" w:space="0"/>
                    <w:right w:val="single" w:color="auto" w:sz="4" w:space="0"/>
                    <w:insideV w:val="single" w:sz="4" w:space="0"/>
                    <w:tl2br w:val="nil"/>
                    <w:tr2bl w:val="nil"/>
                  </w:tcBorders>
                  <w:vAlign w:val="center"/>
                </w:tcPr>
                <w:p w14:paraId="193781FA">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val="0"/>
                      <w:i w:val="0"/>
                      <w:sz w:val="21"/>
                      <w:szCs w:val="21"/>
                      <w14:ligatures w14:val="standardContextual"/>
                    </w:rPr>
                  </w:pPr>
                  <w:r>
                    <w:rPr>
                      <w:rFonts w:hint="eastAsia" w:ascii="Times New Roman" w:hAnsi="Times New Roman" w:eastAsia="宋体" w:cs="Times New Roman"/>
                      <w:b/>
                      <w:i w:val="0"/>
                      <w:sz w:val="21"/>
                      <w:szCs w:val="21"/>
                      <w14:ligatures w14:val="standardContextual"/>
                    </w:rPr>
                    <w:t>保护目标</w:t>
                  </w:r>
                </w:p>
              </w:tc>
              <w:tc>
                <w:tcPr>
                  <w:tcW w:w="1134" w:type="dxa"/>
                  <w:gridSpan w:val="2"/>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0182207A">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val="0"/>
                      <w:i w:val="0"/>
                      <w:sz w:val="21"/>
                      <w:szCs w:val="21"/>
                      <w14:ligatures w14:val="standardContextual"/>
                    </w:rPr>
                  </w:pPr>
                  <w:r>
                    <w:rPr>
                      <w:rFonts w:hint="eastAsia" w:ascii="Times New Roman" w:hAnsi="Times New Roman" w:eastAsia="宋体" w:cs="Times New Roman"/>
                      <w:b/>
                      <w:i w:val="0"/>
                      <w:sz w:val="21"/>
                      <w:szCs w:val="21"/>
                      <w14:ligatures w14:val="standardContextual"/>
                    </w:rPr>
                    <w:t>坐标</w:t>
                  </w:r>
                  <w:r>
                    <w:rPr>
                      <w:rFonts w:hint="default" w:ascii="Times New Roman" w:hAnsi="Times New Roman" w:eastAsia="宋体" w:cs="Times New Roman"/>
                      <w:b/>
                      <w:i w:val="0"/>
                      <w:sz w:val="21"/>
                      <w:szCs w:val="21"/>
                      <w14:ligatures w14:val="standardContextual"/>
                    </w:rPr>
                    <w:t>/m</w:t>
                  </w:r>
                </w:p>
              </w:tc>
              <w:tc>
                <w:tcPr>
                  <w:tcW w:w="850" w:type="dxa"/>
                  <w:vMerge w:val="restart"/>
                  <w:tcBorders>
                    <w:top w:val="single" w:color="auto" w:sz="12" w:space="0"/>
                    <w:bottom w:val="single" w:color="auto" w:sz="4" w:space="0"/>
                    <w:right w:val="single" w:color="auto" w:sz="4" w:space="0"/>
                    <w:insideV w:val="single" w:sz="4" w:space="0"/>
                    <w:tl2br w:val="nil"/>
                    <w:tr2bl w:val="nil"/>
                  </w:tcBorders>
                  <w:vAlign w:val="center"/>
                </w:tcPr>
                <w:p w14:paraId="782494D3">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val="0"/>
                      <w:i w:val="0"/>
                      <w:sz w:val="21"/>
                      <w:szCs w:val="21"/>
                      <w14:ligatures w14:val="standardContextual"/>
                    </w:rPr>
                  </w:pPr>
                  <w:r>
                    <w:rPr>
                      <w:rFonts w:hint="eastAsia" w:ascii="Times New Roman" w:hAnsi="Times New Roman" w:eastAsia="宋体" w:cs="Times New Roman"/>
                      <w:b/>
                      <w:i w:val="0"/>
                      <w:sz w:val="21"/>
                      <w:szCs w:val="21"/>
                      <w14:ligatures w14:val="standardContextual"/>
                    </w:rPr>
                    <w:t>相对厂界方位</w:t>
                  </w:r>
                </w:p>
              </w:tc>
              <w:tc>
                <w:tcPr>
                  <w:tcW w:w="993" w:type="dxa"/>
                  <w:vMerge w:val="restart"/>
                  <w:tcBorders>
                    <w:top w:val="single" w:color="auto" w:sz="12" w:space="0"/>
                    <w:bottom w:val="single" w:color="auto" w:sz="4" w:space="0"/>
                    <w:right w:val="single" w:color="auto" w:sz="4" w:space="0"/>
                    <w:insideV w:val="single" w:sz="4" w:space="0"/>
                    <w:tl2br w:val="nil"/>
                    <w:tr2bl w:val="nil"/>
                  </w:tcBorders>
                  <w:vAlign w:val="center"/>
                </w:tcPr>
                <w:p w14:paraId="2E6E5ED0">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val="0"/>
                      <w:i w:val="0"/>
                      <w:sz w:val="21"/>
                      <w:szCs w:val="21"/>
                      <w14:ligatures w14:val="standardContextual"/>
                    </w:rPr>
                  </w:pPr>
                  <w:r>
                    <w:rPr>
                      <w:rFonts w:hint="eastAsia" w:ascii="Times New Roman" w:hAnsi="Times New Roman" w:eastAsia="宋体" w:cs="Times New Roman"/>
                      <w:b/>
                      <w:i w:val="0"/>
                      <w:sz w:val="21"/>
                      <w:szCs w:val="21"/>
                      <w14:ligatures w14:val="standardContextual"/>
                    </w:rPr>
                    <w:t>相对厂界距离</w:t>
                  </w:r>
                  <w:r>
                    <w:rPr>
                      <w:rFonts w:hint="default" w:ascii="Times New Roman" w:hAnsi="Times New Roman" w:eastAsia="宋体" w:cs="Times New Roman"/>
                      <w:b/>
                      <w:i w:val="0"/>
                      <w:sz w:val="21"/>
                      <w:szCs w:val="21"/>
                      <w14:ligatures w14:val="standardContextual"/>
                    </w:rPr>
                    <w:t>/m</w:t>
                  </w:r>
                </w:p>
              </w:tc>
              <w:tc>
                <w:tcPr>
                  <w:tcW w:w="567" w:type="dxa"/>
                  <w:vMerge w:val="restart"/>
                  <w:tcBorders>
                    <w:top w:val="single" w:color="auto" w:sz="12" w:space="0"/>
                    <w:bottom w:val="single" w:color="auto" w:sz="4" w:space="0"/>
                    <w:right w:val="single" w:color="auto" w:sz="4" w:space="0"/>
                    <w:insideV w:val="single" w:sz="4" w:space="0"/>
                    <w:tl2br w:val="nil"/>
                    <w:tr2bl w:val="nil"/>
                  </w:tcBorders>
                  <w:vAlign w:val="center"/>
                </w:tcPr>
                <w:p w14:paraId="5B380FD4">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val="0"/>
                      <w:i w:val="0"/>
                      <w:sz w:val="21"/>
                      <w:szCs w:val="21"/>
                      <w14:ligatures w14:val="standardContextual"/>
                    </w:rPr>
                  </w:pPr>
                  <w:r>
                    <w:rPr>
                      <w:rFonts w:hint="eastAsia" w:ascii="Times New Roman" w:hAnsi="Times New Roman" w:eastAsia="宋体" w:cs="Times New Roman"/>
                      <w:b/>
                      <w:i w:val="0"/>
                      <w:sz w:val="21"/>
                      <w:szCs w:val="21"/>
                      <w14:ligatures w14:val="standardContextual"/>
                    </w:rPr>
                    <w:t>保护对象</w:t>
                  </w:r>
                </w:p>
              </w:tc>
              <w:tc>
                <w:tcPr>
                  <w:tcW w:w="2626" w:type="dxa"/>
                  <w:vMerge w:val="restart"/>
                  <w:tcBorders>
                    <w:top w:val="single" w:color="auto" w:sz="12" w:space="0"/>
                    <w:bottom w:val="single" w:color="auto" w:sz="4" w:space="0"/>
                    <w:right w:val="nil"/>
                    <w:insideV w:val="single" w:sz="4" w:space="0"/>
                    <w:tl2br w:val="nil"/>
                    <w:tr2bl w:val="nil"/>
                  </w:tcBorders>
                  <w:noWrap/>
                  <w:vAlign w:val="center"/>
                </w:tcPr>
                <w:p w14:paraId="10C40FAF">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val="0"/>
                      <w:i w:val="0"/>
                      <w:sz w:val="21"/>
                      <w:szCs w:val="21"/>
                      <w14:ligatures w14:val="standardContextual"/>
                    </w:rPr>
                  </w:pPr>
                  <w:r>
                    <w:rPr>
                      <w:rFonts w:hint="eastAsia" w:ascii="Times New Roman" w:hAnsi="Times New Roman" w:eastAsia="宋体" w:cs="Times New Roman"/>
                      <w:b/>
                      <w:i w:val="0"/>
                      <w:sz w:val="21"/>
                      <w:szCs w:val="21"/>
                      <w14:ligatures w14:val="standardContextual"/>
                    </w:rPr>
                    <w:t>保护级别</w:t>
                  </w:r>
                </w:p>
              </w:tc>
            </w:tr>
            <w:tr w14:paraId="0F4B59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0" w:type="auto"/>
                  <w:vMerge w:val="continue"/>
                  <w:tcBorders>
                    <w:top w:val="single" w:color="auto" w:sz="12" w:space="0"/>
                    <w:left w:val="nil"/>
                    <w:bottom w:val="single" w:color="auto" w:sz="4" w:space="0"/>
                    <w:right w:val="single" w:color="auto" w:sz="4" w:space="0"/>
                  </w:tcBorders>
                  <w:vAlign w:val="center"/>
                </w:tcPr>
                <w:p w14:paraId="5C6041FE">
                  <w:pPr>
                    <w:widowControl w:val="0"/>
                    <w:overflowPunct w:val="0"/>
                    <w:autoSpaceDE w:val="0"/>
                    <w:autoSpaceDN w:val="0"/>
                    <w:snapToGrid w:val="0"/>
                    <w:jc w:val="center"/>
                    <w:rPr>
                      <w14:ligatures w14:val="standardContextual"/>
                    </w:rPr>
                  </w:pPr>
                </w:p>
              </w:tc>
              <w:tc>
                <w:tcPr>
                  <w:tcW w:w="0" w:type="auto"/>
                  <w:vMerge w:val="continue"/>
                  <w:tcBorders>
                    <w:top w:val="single" w:color="auto" w:sz="12" w:space="0"/>
                    <w:left w:val="single" w:color="auto" w:sz="4" w:space="0"/>
                    <w:bottom w:val="single" w:color="auto" w:sz="4" w:space="0"/>
                    <w:right w:val="single" w:color="auto" w:sz="4" w:space="0"/>
                  </w:tcBorders>
                  <w:vAlign w:val="center"/>
                </w:tcPr>
                <w:p w14:paraId="73D096FF">
                  <w:pPr>
                    <w:widowControl w:val="0"/>
                    <w:overflowPunct w:val="0"/>
                    <w:autoSpaceDE w:val="0"/>
                    <w:autoSpaceDN w:val="0"/>
                    <w:snapToGrid w:val="0"/>
                    <w:jc w:val="center"/>
                    <w:rPr>
                      <w14:ligatures w14:val="standardContextual"/>
                    </w:rPr>
                  </w:pPr>
                </w:p>
              </w:tc>
              <w:tc>
                <w:tcPr>
                  <w:tcW w:w="566" w:type="dxa"/>
                  <w:tcBorders>
                    <w:top w:val="single" w:color="auto" w:sz="4" w:space="0"/>
                    <w:left w:val="single" w:color="auto" w:sz="4" w:space="0"/>
                    <w:bottom w:val="single" w:color="auto" w:sz="4" w:space="0"/>
                    <w:right w:val="single" w:color="auto" w:sz="4" w:space="0"/>
                  </w:tcBorders>
                  <w:vAlign w:val="center"/>
                </w:tcPr>
                <w:p w14:paraId="243D99CB">
                  <w:pPr>
                    <w:widowControl w:val="0"/>
                    <w:overflowPunct w:val="0"/>
                    <w:autoSpaceDE w:val="0"/>
                    <w:autoSpaceDN w:val="0"/>
                    <w:snapToGrid w:val="0"/>
                    <w:jc w:val="center"/>
                    <w:rPr>
                      <w14:ligatures w14:val="standardContextual"/>
                    </w:rPr>
                  </w:pPr>
                  <w:r>
                    <w:rPr>
                      <w14:ligatures w14:val="standardContextual"/>
                    </w:rPr>
                    <w:t>x</w:t>
                  </w:r>
                </w:p>
              </w:tc>
              <w:tc>
                <w:tcPr>
                  <w:tcW w:w="568" w:type="dxa"/>
                  <w:tcBorders>
                    <w:top w:val="single" w:color="auto" w:sz="4" w:space="0"/>
                    <w:left w:val="single" w:color="auto" w:sz="4" w:space="0"/>
                    <w:bottom w:val="single" w:color="auto" w:sz="4" w:space="0"/>
                    <w:right w:val="single" w:color="auto" w:sz="4" w:space="0"/>
                  </w:tcBorders>
                  <w:vAlign w:val="center"/>
                </w:tcPr>
                <w:p w14:paraId="6A41BC9D">
                  <w:pPr>
                    <w:widowControl w:val="0"/>
                    <w:overflowPunct w:val="0"/>
                    <w:autoSpaceDE w:val="0"/>
                    <w:autoSpaceDN w:val="0"/>
                    <w:snapToGrid w:val="0"/>
                    <w:jc w:val="center"/>
                    <w:rPr>
                      <w14:ligatures w14:val="standardContextual"/>
                    </w:rPr>
                  </w:pPr>
                  <w:r>
                    <w:rPr>
                      <w14:ligatures w14:val="standardContextual"/>
                    </w:rPr>
                    <w:t>y</w:t>
                  </w:r>
                </w:p>
              </w:tc>
              <w:tc>
                <w:tcPr>
                  <w:tcW w:w="0" w:type="auto"/>
                  <w:vMerge w:val="continue"/>
                  <w:tcBorders>
                    <w:top w:val="single" w:color="auto" w:sz="12" w:space="0"/>
                    <w:left w:val="single" w:color="auto" w:sz="4" w:space="0"/>
                    <w:bottom w:val="single" w:color="auto" w:sz="4" w:space="0"/>
                    <w:right w:val="single" w:color="auto" w:sz="4" w:space="0"/>
                  </w:tcBorders>
                  <w:vAlign w:val="center"/>
                </w:tcPr>
                <w:p w14:paraId="76EDB1E4">
                  <w:pPr>
                    <w:widowControl w:val="0"/>
                    <w:overflowPunct w:val="0"/>
                    <w:autoSpaceDE w:val="0"/>
                    <w:autoSpaceDN w:val="0"/>
                    <w:snapToGrid w:val="0"/>
                    <w:jc w:val="center"/>
                    <w:rPr>
                      <w14:ligatures w14:val="standardContextual"/>
                    </w:rPr>
                  </w:pPr>
                </w:p>
              </w:tc>
              <w:tc>
                <w:tcPr>
                  <w:tcW w:w="0" w:type="auto"/>
                  <w:vMerge w:val="continue"/>
                  <w:tcBorders>
                    <w:top w:val="single" w:color="auto" w:sz="12" w:space="0"/>
                    <w:left w:val="single" w:color="auto" w:sz="4" w:space="0"/>
                    <w:bottom w:val="single" w:color="auto" w:sz="4" w:space="0"/>
                    <w:right w:val="single" w:color="auto" w:sz="4" w:space="0"/>
                  </w:tcBorders>
                  <w:vAlign w:val="center"/>
                </w:tcPr>
                <w:p w14:paraId="17CE7663">
                  <w:pPr>
                    <w:widowControl w:val="0"/>
                    <w:overflowPunct w:val="0"/>
                    <w:autoSpaceDE w:val="0"/>
                    <w:autoSpaceDN w:val="0"/>
                    <w:snapToGrid w:val="0"/>
                    <w:jc w:val="center"/>
                    <w:rPr>
                      <w14:ligatures w14:val="standardContextual"/>
                    </w:rPr>
                  </w:pPr>
                </w:p>
              </w:tc>
              <w:tc>
                <w:tcPr>
                  <w:tcW w:w="0" w:type="auto"/>
                  <w:vMerge w:val="continue"/>
                  <w:tcBorders>
                    <w:top w:val="single" w:color="auto" w:sz="12" w:space="0"/>
                    <w:left w:val="single" w:color="auto" w:sz="4" w:space="0"/>
                    <w:bottom w:val="single" w:color="auto" w:sz="4" w:space="0"/>
                    <w:right w:val="single" w:color="auto" w:sz="4" w:space="0"/>
                  </w:tcBorders>
                  <w:vAlign w:val="center"/>
                </w:tcPr>
                <w:p w14:paraId="66A05F7F">
                  <w:pPr>
                    <w:widowControl w:val="0"/>
                    <w:overflowPunct w:val="0"/>
                    <w:autoSpaceDE w:val="0"/>
                    <w:autoSpaceDN w:val="0"/>
                    <w:snapToGrid w:val="0"/>
                    <w:jc w:val="center"/>
                    <w:rPr>
                      <w14:ligatures w14:val="standardContextual"/>
                    </w:rPr>
                  </w:pPr>
                </w:p>
              </w:tc>
              <w:tc>
                <w:tcPr>
                  <w:tcW w:w="0" w:type="auto"/>
                  <w:vMerge w:val="continue"/>
                  <w:tcBorders>
                    <w:top w:val="single" w:color="auto" w:sz="12" w:space="0"/>
                    <w:left w:val="single" w:color="auto" w:sz="4" w:space="0"/>
                    <w:bottom w:val="single" w:color="auto" w:sz="4" w:space="0"/>
                    <w:right w:val="nil"/>
                  </w:tcBorders>
                  <w:vAlign w:val="center"/>
                </w:tcPr>
                <w:p w14:paraId="317C796F">
                  <w:pPr>
                    <w:widowControl w:val="0"/>
                    <w:overflowPunct w:val="0"/>
                    <w:autoSpaceDE w:val="0"/>
                    <w:autoSpaceDN w:val="0"/>
                    <w:snapToGrid w:val="0"/>
                    <w:jc w:val="center"/>
                    <w:rPr>
                      <w14:ligatures w14:val="standardContextual"/>
                    </w:rPr>
                  </w:pPr>
                </w:p>
              </w:tc>
            </w:tr>
            <w:tr w14:paraId="382666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056" w:type="dxa"/>
                  <w:tcBorders>
                    <w:top w:val="single" w:color="auto" w:sz="4" w:space="0"/>
                    <w:left w:val="nil"/>
                    <w:bottom w:val="single" w:color="auto" w:sz="12" w:space="0"/>
                    <w:right w:val="single" w:color="auto" w:sz="4" w:space="0"/>
                  </w:tcBorders>
                  <w:vAlign w:val="center"/>
                </w:tcPr>
                <w:p w14:paraId="58A95350">
                  <w:pPr>
                    <w:widowControl w:val="0"/>
                    <w:overflowPunct w:val="0"/>
                    <w:autoSpaceDE w:val="0"/>
                    <w:autoSpaceDN w:val="0"/>
                    <w:snapToGrid w:val="0"/>
                    <w:jc w:val="center"/>
                    <w:rPr>
                      <w14:ligatures w14:val="standardContextual"/>
                    </w:rPr>
                  </w:pPr>
                  <w:r>
                    <w:rPr>
                      <w:rFonts w:hint="eastAsia"/>
                      <w14:ligatures w14:val="standardContextual"/>
                    </w:rPr>
                    <w:t>环境空气</w:t>
                  </w:r>
                </w:p>
              </w:tc>
              <w:tc>
                <w:tcPr>
                  <w:tcW w:w="712" w:type="dxa"/>
                  <w:tcBorders>
                    <w:top w:val="single" w:color="auto" w:sz="4" w:space="0"/>
                    <w:left w:val="single" w:color="auto" w:sz="4" w:space="0"/>
                    <w:bottom w:val="single" w:color="auto" w:sz="12" w:space="0"/>
                    <w:right w:val="single" w:color="auto" w:sz="4" w:space="0"/>
                  </w:tcBorders>
                  <w:vAlign w:val="center"/>
                </w:tcPr>
                <w:p w14:paraId="72EE0BD6">
                  <w:pPr>
                    <w:widowControl w:val="0"/>
                    <w:overflowPunct w:val="0"/>
                    <w:autoSpaceDE w:val="0"/>
                    <w:autoSpaceDN w:val="0"/>
                    <w:snapToGrid w:val="0"/>
                    <w:jc w:val="center"/>
                    <w:rPr>
                      <w14:ligatures w14:val="standardContextual"/>
                    </w:rPr>
                  </w:pPr>
                  <w:r>
                    <w:rPr>
                      <w:rFonts w:hint="eastAsia"/>
                      <w14:ligatures w14:val="standardContextual"/>
                    </w:rPr>
                    <w:t>大鸡屋</w:t>
                  </w:r>
                </w:p>
              </w:tc>
              <w:tc>
                <w:tcPr>
                  <w:tcW w:w="566" w:type="dxa"/>
                  <w:tcBorders>
                    <w:top w:val="single" w:color="auto" w:sz="4" w:space="0"/>
                    <w:left w:val="single" w:color="auto" w:sz="4" w:space="0"/>
                    <w:bottom w:val="single" w:color="auto" w:sz="12" w:space="0"/>
                    <w:right w:val="single" w:color="auto" w:sz="4" w:space="0"/>
                  </w:tcBorders>
                  <w:vAlign w:val="center"/>
                </w:tcPr>
                <w:p w14:paraId="31490089">
                  <w:pPr>
                    <w:widowControl w:val="0"/>
                    <w:overflowPunct w:val="0"/>
                    <w:autoSpaceDE w:val="0"/>
                    <w:autoSpaceDN w:val="0"/>
                    <w:snapToGrid w:val="0"/>
                    <w:jc w:val="center"/>
                    <w:rPr>
                      <w14:ligatures w14:val="standardContextual"/>
                    </w:rPr>
                  </w:pPr>
                  <w:r>
                    <w:rPr>
                      <w14:ligatures w14:val="standardContextual"/>
                    </w:rPr>
                    <w:t>-426</w:t>
                  </w:r>
                </w:p>
              </w:tc>
              <w:tc>
                <w:tcPr>
                  <w:tcW w:w="568" w:type="dxa"/>
                  <w:tcBorders>
                    <w:top w:val="single" w:color="auto" w:sz="4" w:space="0"/>
                    <w:left w:val="single" w:color="auto" w:sz="4" w:space="0"/>
                    <w:bottom w:val="single" w:color="auto" w:sz="12" w:space="0"/>
                    <w:right w:val="single" w:color="auto" w:sz="4" w:space="0"/>
                  </w:tcBorders>
                  <w:vAlign w:val="center"/>
                </w:tcPr>
                <w:p w14:paraId="58A661E8">
                  <w:pPr>
                    <w:widowControl w:val="0"/>
                    <w:overflowPunct w:val="0"/>
                    <w:autoSpaceDE w:val="0"/>
                    <w:autoSpaceDN w:val="0"/>
                    <w:snapToGrid w:val="0"/>
                    <w:jc w:val="center"/>
                    <w:rPr>
                      <w14:ligatures w14:val="standardContextual"/>
                    </w:rPr>
                  </w:pPr>
                  <w:r>
                    <w:rPr>
                      <w14:ligatures w14:val="standardContextual"/>
                    </w:rPr>
                    <w:t>320</w:t>
                  </w:r>
                </w:p>
              </w:tc>
              <w:tc>
                <w:tcPr>
                  <w:tcW w:w="850" w:type="dxa"/>
                  <w:tcBorders>
                    <w:top w:val="single" w:color="auto" w:sz="4" w:space="0"/>
                    <w:left w:val="single" w:color="auto" w:sz="4" w:space="0"/>
                    <w:bottom w:val="single" w:color="auto" w:sz="12" w:space="0"/>
                    <w:right w:val="single" w:color="auto" w:sz="4" w:space="0"/>
                  </w:tcBorders>
                  <w:vAlign w:val="center"/>
                </w:tcPr>
                <w:p w14:paraId="0206EED5">
                  <w:pPr>
                    <w:widowControl w:val="0"/>
                    <w:overflowPunct w:val="0"/>
                    <w:autoSpaceDE w:val="0"/>
                    <w:autoSpaceDN w:val="0"/>
                    <w:snapToGrid w:val="0"/>
                    <w:jc w:val="center"/>
                    <w:rPr>
                      <w14:ligatures w14:val="standardContextual"/>
                    </w:rPr>
                  </w:pPr>
                  <w:r>
                    <w:rPr>
                      <w14:ligatures w14:val="standardContextual"/>
                    </w:rPr>
                    <w:t>ES</w:t>
                  </w:r>
                </w:p>
              </w:tc>
              <w:tc>
                <w:tcPr>
                  <w:tcW w:w="993" w:type="dxa"/>
                  <w:tcBorders>
                    <w:top w:val="single" w:color="auto" w:sz="4" w:space="0"/>
                    <w:left w:val="single" w:color="auto" w:sz="4" w:space="0"/>
                    <w:bottom w:val="single" w:color="auto" w:sz="12" w:space="0"/>
                    <w:right w:val="single" w:color="auto" w:sz="4" w:space="0"/>
                  </w:tcBorders>
                  <w:vAlign w:val="center"/>
                </w:tcPr>
                <w:p w14:paraId="5F0503EB">
                  <w:pPr>
                    <w:widowControl w:val="0"/>
                    <w:overflowPunct w:val="0"/>
                    <w:autoSpaceDE w:val="0"/>
                    <w:autoSpaceDN w:val="0"/>
                    <w:snapToGrid w:val="0"/>
                    <w:jc w:val="center"/>
                    <w:rPr>
                      <w14:ligatures w14:val="standardContextual"/>
                    </w:rPr>
                  </w:pPr>
                  <w:r>
                    <w:rPr>
                      <w14:ligatures w14:val="standardContextual"/>
                    </w:rPr>
                    <w:t>200</w:t>
                  </w:r>
                </w:p>
              </w:tc>
              <w:tc>
                <w:tcPr>
                  <w:tcW w:w="567" w:type="dxa"/>
                  <w:tcBorders>
                    <w:top w:val="single" w:color="auto" w:sz="4" w:space="0"/>
                    <w:left w:val="single" w:color="auto" w:sz="4" w:space="0"/>
                    <w:bottom w:val="single" w:color="auto" w:sz="12" w:space="0"/>
                    <w:right w:val="single" w:color="auto" w:sz="4" w:space="0"/>
                  </w:tcBorders>
                  <w:vAlign w:val="center"/>
                </w:tcPr>
                <w:p w14:paraId="5E744475">
                  <w:pPr>
                    <w:widowControl w:val="0"/>
                    <w:overflowPunct w:val="0"/>
                    <w:autoSpaceDE w:val="0"/>
                    <w:autoSpaceDN w:val="0"/>
                    <w:snapToGrid w:val="0"/>
                    <w:jc w:val="center"/>
                    <w:rPr>
                      <w14:ligatures w14:val="standardContextual"/>
                    </w:rPr>
                  </w:pPr>
                  <w:r>
                    <w:rPr>
                      <w:rFonts w:hint="eastAsia"/>
                      <w14:ligatures w14:val="standardContextual"/>
                    </w:rPr>
                    <w:t>村庄</w:t>
                  </w:r>
                </w:p>
              </w:tc>
              <w:tc>
                <w:tcPr>
                  <w:tcW w:w="2626" w:type="dxa"/>
                  <w:tcBorders>
                    <w:top w:val="single" w:color="auto" w:sz="4" w:space="0"/>
                    <w:left w:val="single" w:color="auto" w:sz="4" w:space="0"/>
                    <w:bottom w:val="single" w:color="auto" w:sz="12" w:space="0"/>
                    <w:right w:val="nil"/>
                  </w:tcBorders>
                  <w:vAlign w:val="center"/>
                </w:tcPr>
                <w:p w14:paraId="2D73378A">
                  <w:pPr>
                    <w:widowControl w:val="0"/>
                    <w:overflowPunct w:val="0"/>
                    <w:autoSpaceDE w:val="0"/>
                    <w:autoSpaceDN w:val="0"/>
                    <w:snapToGrid w:val="0"/>
                    <w:jc w:val="center"/>
                    <w:rPr>
                      <w14:ligatures w14:val="standardContextual"/>
                    </w:rPr>
                  </w:pPr>
                  <w:r>
                    <w:rPr>
                      <w:rFonts w:hint="eastAsia"/>
                      <w14:ligatures w14:val="standardContextual"/>
                    </w:rPr>
                    <w:t>《环境空气质量标准》</w:t>
                  </w:r>
                  <w:r>
                    <w:rPr>
                      <w14:ligatures w14:val="standardContextual"/>
                    </w:rPr>
                    <w:t>(GB3095-2012)</w:t>
                  </w:r>
                  <w:r>
                    <w:rPr>
                      <w:rFonts w:hint="eastAsia"/>
                      <w14:ligatures w14:val="standardContextual"/>
                    </w:rPr>
                    <w:t>中二级标准</w:t>
                  </w:r>
                </w:p>
              </w:tc>
            </w:tr>
          </w:tbl>
          <w:p w14:paraId="0A2E4FF4">
            <w:pPr>
              <w:pStyle w:val="3"/>
              <w:ind w:firstLine="480"/>
            </w:pPr>
          </w:p>
          <w:p w14:paraId="4DAA160A">
            <w:pPr>
              <w:pStyle w:val="3"/>
              <w:ind w:firstLine="480"/>
            </w:pPr>
          </w:p>
        </w:tc>
      </w:tr>
      <w:tr w14:paraId="68DE72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94" w:hRule="atLeast"/>
          <w:jc w:val="center"/>
        </w:trPr>
        <w:tc>
          <w:tcPr>
            <w:tcW w:w="440" w:type="pct"/>
            <w:tcMar>
              <w:left w:w="28" w:type="dxa"/>
              <w:right w:w="28" w:type="dxa"/>
            </w:tcMar>
            <w:vAlign w:val="center"/>
          </w:tcPr>
          <w:p w14:paraId="0AC706EE">
            <w:pPr>
              <w:snapToGrid w:val="0"/>
              <w:jc w:val="center"/>
              <w:rPr>
                <w:rFonts w:cs="宋体"/>
                <w:sz w:val="24"/>
              </w:rPr>
            </w:pPr>
            <w:r>
              <w:rPr>
                <w:rFonts w:hint="eastAsia" w:cs="宋体"/>
                <w:sz w:val="24"/>
              </w:rPr>
              <w:t>污染</w:t>
            </w:r>
          </w:p>
          <w:p w14:paraId="10618C51">
            <w:pPr>
              <w:snapToGrid w:val="0"/>
              <w:jc w:val="center"/>
              <w:rPr>
                <w:rFonts w:cs="宋体"/>
                <w:sz w:val="24"/>
              </w:rPr>
            </w:pPr>
            <w:r>
              <w:rPr>
                <w:rFonts w:hint="eastAsia" w:cs="宋体"/>
                <w:sz w:val="24"/>
              </w:rPr>
              <w:t>物排</w:t>
            </w:r>
          </w:p>
          <w:p w14:paraId="0950A737">
            <w:pPr>
              <w:snapToGrid w:val="0"/>
              <w:jc w:val="center"/>
              <w:rPr>
                <w:rFonts w:cs="宋体"/>
                <w:sz w:val="24"/>
              </w:rPr>
            </w:pPr>
            <w:r>
              <w:rPr>
                <w:rFonts w:hint="eastAsia" w:cs="宋体"/>
                <w:sz w:val="24"/>
              </w:rPr>
              <w:t>放控</w:t>
            </w:r>
          </w:p>
          <w:p w14:paraId="762BADC3">
            <w:pPr>
              <w:snapToGrid w:val="0"/>
              <w:jc w:val="center"/>
              <w:rPr>
                <w:rFonts w:cs="宋体"/>
                <w:sz w:val="24"/>
              </w:rPr>
            </w:pPr>
            <w:r>
              <w:rPr>
                <w:rFonts w:hint="eastAsia" w:cs="宋体"/>
                <w:sz w:val="24"/>
              </w:rPr>
              <w:t>制标</w:t>
            </w:r>
          </w:p>
          <w:p w14:paraId="04B6084E">
            <w:pPr>
              <w:snapToGrid w:val="0"/>
              <w:jc w:val="center"/>
              <w:rPr>
                <w:rFonts w:cs="宋体"/>
                <w:sz w:val="24"/>
              </w:rPr>
            </w:pPr>
            <w:r>
              <w:rPr>
                <w:rFonts w:hint="eastAsia" w:cs="宋体"/>
                <w:sz w:val="24"/>
              </w:rPr>
              <w:t>准</w:t>
            </w:r>
          </w:p>
        </w:tc>
        <w:tc>
          <w:tcPr>
            <w:tcW w:w="4560" w:type="pct"/>
            <w:vAlign w:val="center"/>
          </w:tcPr>
          <w:p w14:paraId="1C86EC4A">
            <w:pPr>
              <w:pStyle w:val="7"/>
              <w:rPr>
                <w:highlight w:val="yellow"/>
              </w:rPr>
            </w:pPr>
            <w:r>
              <w:rPr>
                <w:rFonts w:hint="eastAsia"/>
              </w:rPr>
              <w:t>1、大气污染物排放标准</w:t>
            </w:r>
          </w:p>
          <w:p w14:paraId="7F23938B">
            <w:pPr>
              <w:pStyle w:val="3"/>
              <w:ind w:firstLine="480"/>
            </w:pPr>
            <w:r>
              <w:rPr>
                <w:rFonts w:hint="eastAsia"/>
              </w:rPr>
              <w:t>（1）施工期</w:t>
            </w:r>
          </w:p>
          <w:p w14:paraId="12E03256">
            <w:pPr>
              <w:pStyle w:val="3"/>
              <w:ind w:firstLine="480"/>
            </w:pPr>
            <w:r>
              <w:rPr>
                <w:rFonts w:hint="eastAsia"/>
              </w:rPr>
              <w:t>施工期项目厂界无组织排放颗粒物执行《大气污染物综合排放标准》（GB16297-1996）表2中颗粒物≤1.0mg/m³。</w:t>
            </w:r>
          </w:p>
          <w:p w14:paraId="3DF7C404">
            <w:pPr>
              <w:pStyle w:val="3"/>
              <w:ind w:firstLine="480"/>
            </w:pPr>
            <w:r>
              <w:rPr>
                <w:rFonts w:hint="eastAsia"/>
              </w:rPr>
              <w:t>（2）运营期</w:t>
            </w:r>
          </w:p>
          <w:p w14:paraId="247D8436">
            <w:pPr>
              <w:pStyle w:val="3"/>
              <w:ind w:firstLine="480"/>
            </w:pPr>
            <w:r>
              <w:rPr>
                <w:rFonts w:hint="eastAsia"/>
              </w:rPr>
              <w:t>生物质锅炉燃烧废气执行《锅炉大气污染物排放标准》(GB13271-2014）表2新建锅炉大气污染物排放浓度限值中燃煤标准。</w:t>
            </w:r>
          </w:p>
          <w:p w14:paraId="0733149B">
            <w:pPr>
              <w:pStyle w:val="49"/>
            </w:pPr>
            <w:bookmarkStart w:id="149" w:name="_Ref192717532"/>
            <w:r>
              <w:rPr>
                <w:rFonts w:hint="eastAsia"/>
              </w:rPr>
              <w:t xml:space="preserve">表3- </w:t>
            </w:r>
            <w:r>
              <w:t>4</w:t>
            </w:r>
            <w:r>
              <w:rPr>
                <w:rFonts w:hint="eastAsia"/>
              </w:rPr>
              <w:t>：锅炉大气污染物排放标准</w:t>
            </w:r>
            <w:bookmarkEnd w:id="149"/>
          </w:p>
          <w:tbl>
            <w:tblPr>
              <w:tblStyle w:val="5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3227"/>
              <w:gridCol w:w="2255"/>
              <w:gridCol w:w="2498"/>
            </w:tblGrid>
            <w:tr w14:paraId="160331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022" w:type="pct"/>
                  <w:vMerge w:val="restart"/>
                  <w:tcBorders>
                    <w:top w:val="single" w:color="auto" w:sz="12" w:space="0"/>
                    <w:left w:val="nil"/>
                    <w:bottom w:val="single" w:color="auto" w:sz="12" w:space="0"/>
                    <w:right w:val="single" w:color="auto" w:sz="4" w:space="0"/>
                    <w:insideH w:val="single" w:sz="12" w:space="0"/>
                    <w:insideV w:val="single" w:sz="4" w:space="0"/>
                    <w:tl2br w:val="nil"/>
                    <w:tr2bl w:val="nil"/>
                  </w:tcBorders>
                  <w:vAlign w:val="center"/>
                </w:tcPr>
                <w:p w14:paraId="4DAA27F8">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z w:val="21"/>
                      <w:szCs w:val="21"/>
                      <w14:ligatures w14:val="standardContextual"/>
                    </w:rPr>
                  </w:pPr>
                  <w:r>
                    <w:rPr>
                      <w:rFonts w:hint="eastAsia" w:ascii="Times New Roman" w:hAnsi="Times New Roman" w:eastAsia="宋体" w:cs="Times New Roman"/>
                      <w:b/>
                      <w:i w:val="0"/>
                      <w:sz w:val="21"/>
                      <w:szCs w:val="21"/>
                      <w14:ligatures w14:val="standardContextual"/>
                    </w:rPr>
                    <w:t>污染物项目</w:t>
                  </w:r>
                </w:p>
              </w:tc>
              <w:tc>
                <w:tcPr>
                  <w:tcW w:w="1413"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13CC2EA3">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z w:val="21"/>
                      <w:szCs w:val="21"/>
                      <w14:ligatures w14:val="standardContextual"/>
                    </w:rPr>
                  </w:pPr>
                  <w:r>
                    <w:rPr>
                      <w:rFonts w:hint="eastAsia" w:ascii="Times New Roman" w:hAnsi="Times New Roman" w:eastAsia="宋体" w:cs="Times New Roman"/>
                      <w:b/>
                      <w:i w:val="0"/>
                      <w:sz w:val="21"/>
                      <w:szCs w:val="21"/>
                      <w14:ligatures w14:val="standardContextual"/>
                    </w:rPr>
                    <w:t>限值（mg/m</w:t>
                  </w:r>
                  <w:r>
                    <w:rPr>
                      <w:rFonts w:hint="eastAsia" w:ascii="Times New Roman" w:hAnsi="Times New Roman" w:eastAsia="宋体" w:cs="Times New Roman"/>
                      <w:b/>
                      <w:i w:val="0"/>
                      <w:sz w:val="21"/>
                      <w:szCs w:val="21"/>
                      <w:vertAlign w:val="superscript"/>
                      <w14:ligatures w14:val="standardContextual"/>
                    </w:rPr>
                    <w:t>3</w:t>
                  </w:r>
                  <w:r>
                    <w:rPr>
                      <w:rFonts w:hint="eastAsia" w:ascii="Times New Roman" w:hAnsi="Times New Roman" w:eastAsia="宋体" w:cs="Times New Roman"/>
                      <w:b/>
                      <w:i w:val="0"/>
                      <w:sz w:val="21"/>
                      <w:szCs w:val="21"/>
                      <w14:ligatures w14:val="standardContextual"/>
                    </w:rPr>
                    <w:t>）</w:t>
                  </w:r>
                </w:p>
              </w:tc>
              <w:tc>
                <w:tcPr>
                  <w:tcW w:w="1565" w:type="pct"/>
                  <w:vMerge w:val="restart"/>
                  <w:tcBorders>
                    <w:top w:val="single" w:color="auto" w:sz="12" w:space="0"/>
                    <w:bottom w:val="single" w:color="auto" w:sz="12" w:space="0"/>
                    <w:right w:val="nil"/>
                    <w:insideH w:val="single" w:sz="12" w:space="0"/>
                    <w:insideV w:val="single" w:sz="4" w:space="0"/>
                    <w:tl2br w:val="nil"/>
                    <w:tr2bl w:val="nil"/>
                  </w:tcBorders>
                  <w:vAlign w:val="center"/>
                </w:tcPr>
                <w:p w14:paraId="1B25D904">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z w:val="21"/>
                      <w:szCs w:val="21"/>
                      <w14:ligatures w14:val="standardContextual"/>
                    </w:rPr>
                  </w:pPr>
                  <w:r>
                    <w:rPr>
                      <w:rFonts w:hint="eastAsia" w:ascii="Times New Roman" w:hAnsi="Times New Roman" w:eastAsia="宋体" w:cs="Times New Roman"/>
                      <w:b/>
                      <w:i w:val="0"/>
                      <w:sz w:val="21"/>
                      <w:szCs w:val="21"/>
                      <w14:ligatures w14:val="standardContextual"/>
                    </w:rPr>
                    <w:t>污染物排放监控位置</w:t>
                  </w:r>
                </w:p>
              </w:tc>
            </w:tr>
            <w:tr w14:paraId="6ABDCC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022" w:type="pct"/>
                  <w:vMerge w:val="continue"/>
                  <w:vAlign w:val="center"/>
                </w:tcPr>
                <w:p w14:paraId="13A09D76">
                  <w:pPr>
                    <w:widowControl w:val="0"/>
                    <w:overflowPunct w:val="0"/>
                    <w:autoSpaceDE w:val="0"/>
                    <w:autoSpaceDN w:val="0"/>
                    <w:snapToGrid w:val="0"/>
                    <w:jc w:val="center"/>
                    <w:rPr>
                      <w14:ligatures w14:val="standardContextual"/>
                    </w:rPr>
                  </w:pPr>
                </w:p>
              </w:tc>
              <w:tc>
                <w:tcPr>
                  <w:tcW w:w="1413" w:type="pct"/>
                  <w:vAlign w:val="center"/>
                </w:tcPr>
                <w:p w14:paraId="13C56B59">
                  <w:pPr>
                    <w:widowControl w:val="0"/>
                    <w:overflowPunct w:val="0"/>
                    <w:autoSpaceDE w:val="0"/>
                    <w:autoSpaceDN w:val="0"/>
                    <w:snapToGrid w:val="0"/>
                    <w:jc w:val="center"/>
                    <w:rPr>
                      <w14:ligatures w14:val="standardContextual"/>
                    </w:rPr>
                  </w:pPr>
                  <w:r>
                    <w:rPr>
                      <w:rFonts w:hint="eastAsia"/>
                      <w14:ligatures w14:val="standardContextual"/>
                    </w:rPr>
                    <w:t>燃煤锅炉</w:t>
                  </w:r>
                </w:p>
              </w:tc>
              <w:tc>
                <w:tcPr>
                  <w:tcW w:w="1565" w:type="pct"/>
                  <w:vMerge w:val="continue"/>
                  <w:vAlign w:val="center"/>
                </w:tcPr>
                <w:p w14:paraId="17B3E0A5">
                  <w:pPr>
                    <w:widowControl w:val="0"/>
                    <w:overflowPunct w:val="0"/>
                    <w:autoSpaceDE w:val="0"/>
                    <w:autoSpaceDN w:val="0"/>
                    <w:snapToGrid w:val="0"/>
                    <w:jc w:val="center"/>
                    <w:rPr>
                      <w14:ligatures w14:val="standardContextual"/>
                    </w:rPr>
                  </w:pPr>
                </w:p>
              </w:tc>
            </w:tr>
            <w:tr w14:paraId="660A03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022" w:type="pct"/>
                  <w:vAlign w:val="center"/>
                </w:tcPr>
                <w:p w14:paraId="0E6D1452">
                  <w:pPr>
                    <w:widowControl w:val="0"/>
                    <w:overflowPunct w:val="0"/>
                    <w:autoSpaceDE w:val="0"/>
                    <w:autoSpaceDN w:val="0"/>
                    <w:snapToGrid w:val="0"/>
                    <w:jc w:val="center"/>
                    <w:rPr>
                      <w14:ligatures w14:val="standardContextual"/>
                    </w:rPr>
                  </w:pPr>
                  <w:r>
                    <w:rPr>
                      <w:rFonts w:hint="eastAsia"/>
                      <w14:ligatures w14:val="standardContextual"/>
                    </w:rPr>
                    <w:t>颗粒物</w:t>
                  </w:r>
                </w:p>
              </w:tc>
              <w:tc>
                <w:tcPr>
                  <w:tcW w:w="1413" w:type="pct"/>
                  <w:vAlign w:val="center"/>
                </w:tcPr>
                <w:p w14:paraId="09B1598C">
                  <w:pPr>
                    <w:widowControl w:val="0"/>
                    <w:overflowPunct w:val="0"/>
                    <w:autoSpaceDE w:val="0"/>
                    <w:autoSpaceDN w:val="0"/>
                    <w:snapToGrid w:val="0"/>
                    <w:jc w:val="center"/>
                    <w:rPr>
                      <w14:ligatures w14:val="standardContextual"/>
                    </w:rPr>
                  </w:pPr>
                  <w:r>
                    <w:rPr>
                      <w:rFonts w:hint="eastAsia"/>
                      <w14:ligatures w14:val="standardContextual"/>
                    </w:rPr>
                    <w:t>50</w:t>
                  </w:r>
                </w:p>
              </w:tc>
              <w:tc>
                <w:tcPr>
                  <w:tcW w:w="1565" w:type="pct"/>
                  <w:vMerge w:val="restart"/>
                  <w:vAlign w:val="center"/>
                </w:tcPr>
                <w:p w14:paraId="73C4F578">
                  <w:pPr>
                    <w:widowControl w:val="0"/>
                    <w:overflowPunct w:val="0"/>
                    <w:autoSpaceDE w:val="0"/>
                    <w:autoSpaceDN w:val="0"/>
                    <w:snapToGrid w:val="0"/>
                    <w:jc w:val="center"/>
                    <w:rPr>
                      <w14:ligatures w14:val="standardContextual"/>
                    </w:rPr>
                  </w:pPr>
                  <w:r>
                    <w:rPr>
                      <w:rFonts w:hint="eastAsia"/>
                      <w14:ligatures w14:val="standardContextual"/>
                    </w:rPr>
                    <w:t>烟囱或烟道</w:t>
                  </w:r>
                </w:p>
              </w:tc>
            </w:tr>
            <w:tr w14:paraId="050D2A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022" w:type="pct"/>
                  <w:vAlign w:val="center"/>
                </w:tcPr>
                <w:p w14:paraId="294223B4">
                  <w:pPr>
                    <w:widowControl w:val="0"/>
                    <w:overflowPunct w:val="0"/>
                    <w:autoSpaceDE w:val="0"/>
                    <w:autoSpaceDN w:val="0"/>
                    <w:snapToGrid w:val="0"/>
                    <w:jc w:val="center"/>
                    <w:rPr>
                      <w14:ligatures w14:val="standardContextual"/>
                    </w:rPr>
                  </w:pPr>
                  <w:r>
                    <w:rPr>
                      <w:rFonts w:hint="eastAsia"/>
                      <w14:ligatures w14:val="standardContextual"/>
                    </w:rPr>
                    <w:t>SO</w:t>
                  </w:r>
                  <w:r>
                    <w:rPr>
                      <w:rFonts w:hint="eastAsia"/>
                      <w:vertAlign w:val="subscript"/>
                      <w14:ligatures w14:val="standardContextual"/>
                    </w:rPr>
                    <w:t>2</w:t>
                  </w:r>
                </w:p>
              </w:tc>
              <w:tc>
                <w:tcPr>
                  <w:tcW w:w="1413" w:type="pct"/>
                  <w:vAlign w:val="center"/>
                </w:tcPr>
                <w:p w14:paraId="696066A3">
                  <w:pPr>
                    <w:widowControl w:val="0"/>
                    <w:overflowPunct w:val="0"/>
                    <w:autoSpaceDE w:val="0"/>
                    <w:autoSpaceDN w:val="0"/>
                    <w:snapToGrid w:val="0"/>
                    <w:jc w:val="center"/>
                    <w:rPr>
                      <w14:ligatures w14:val="standardContextual"/>
                    </w:rPr>
                  </w:pPr>
                  <w:r>
                    <w:rPr>
                      <w:rFonts w:hint="eastAsia"/>
                      <w14:ligatures w14:val="standardContextual"/>
                    </w:rPr>
                    <w:t>300</w:t>
                  </w:r>
                </w:p>
              </w:tc>
              <w:tc>
                <w:tcPr>
                  <w:tcW w:w="1565" w:type="pct"/>
                  <w:vMerge w:val="continue"/>
                  <w:vAlign w:val="center"/>
                </w:tcPr>
                <w:p w14:paraId="324E6889">
                  <w:pPr>
                    <w:widowControl w:val="0"/>
                    <w:overflowPunct w:val="0"/>
                    <w:autoSpaceDE w:val="0"/>
                    <w:autoSpaceDN w:val="0"/>
                    <w:snapToGrid w:val="0"/>
                    <w:jc w:val="center"/>
                    <w:rPr>
                      <w14:ligatures w14:val="standardContextual"/>
                    </w:rPr>
                  </w:pPr>
                </w:p>
              </w:tc>
            </w:tr>
            <w:tr w14:paraId="5BB6EE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022" w:type="pct"/>
                  <w:vAlign w:val="center"/>
                </w:tcPr>
                <w:p w14:paraId="65163670">
                  <w:pPr>
                    <w:widowControl w:val="0"/>
                    <w:overflowPunct w:val="0"/>
                    <w:autoSpaceDE w:val="0"/>
                    <w:autoSpaceDN w:val="0"/>
                    <w:snapToGrid w:val="0"/>
                    <w:jc w:val="center"/>
                    <w:rPr>
                      <w14:ligatures w14:val="standardContextual"/>
                    </w:rPr>
                  </w:pPr>
                  <w:r>
                    <w:rPr>
                      <w:rFonts w:hint="eastAsia"/>
                      <w14:ligatures w14:val="standardContextual"/>
                    </w:rPr>
                    <w:t>NO</w:t>
                  </w:r>
                  <w:r>
                    <w:rPr>
                      <w:rFonts w:hint="eastAsia"/>
                      <w:vertAlign w:val="subscript"/>
                      <w14:ligatures w14:val="standardContextual"/>
                    </w:rPr>
                    <w:t>x</w:t>
                  </w:r>
                </w:p>
              </w:tc>
              <w:tc>
                <w:tcPr>
                  <w:tcW w:w="1413" w:type="pct"/>
                  <w:vAlign w:val="center"/>
                </w:tcPr>
                <w:p w14:paraId="20334998">
                  <w:pPr>
                    <w:widowControl w:val="0"/>
                    <w:overflowPunct w:val="0"/>
                    <w:autoSpaceDE w:val="0"/>
                    <w:autoSpaceDN w:val="0"/>
                    <w:snapToGrid w:val="0"/>
                    <w:jc w:val="center"/>
                    <w:rPr>
                      <w14:ligatures w14:val="standardContextual"/>
                    </w:rPr>
                  </w:pPr>
                  <w:r>
                    <w:rPr>
                      <w:rFonts w:hint="eastAsia"/>
                      <w14:ligatures w14:val="standardContextual"/>
                    </w:rPr>
                    <w:t>300</w:t>
                  </w:r>
                </w:p>
              </w:tc>
              <w:tc>
                <w:tcPr>
                  <w:tcW w:w="1565" w:type="pct"/>
                  <w:vMerge w:val="continue"/>
                  <w:vAlign w:val="center"/>
                </w:tcPr>
                <w:p w14:paraId="6A9B1D10">
                  <w:pPr>
                    <w:widowControl w:val="0"/>
                    <w:overflowPunct w:val="0"/>
                    <w:autoSpaceDE w:val="0"/>
                    <w:autoSpaceDN w:val="0"/>
                    <w:snapToGrid w:val="0"/>
                    <w:jc w:val="center"/>
                    <w:rPr>
                      <w14:ligatures w14:val="standardContextual"/>
                    </w:rPr>
                  </w:pPr>
                </w:p>
              </w:tc>
            </w:tr>
            <w:tr w14:paraId="1055F8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022" w:type="pct"/>
                  <w:vAlign w:val="center"/>
                </w:tcPr>
                <w:p w14:paraId="2BF6DD2D">
                  <w:pPr>
                    <w:widowControl w:val="0"/>
                    <w:overflowPunct w:val="0"/>
                    <w:autoSpaceDE w:val="0"/>
                    <w:autoSpaceDN w:val="0"/>
                    <w:snapToGrid w:val="0"/>
                    <w:jc w:val="center"/>
                    <w:rPr>
                      <w14:ligatures w14:val="standardContextual"/>
                    </w:rPr>
                  </w:pPr>
                  <w:r>
                    <w:rPr>
                      <w:rFonts w:hint="eastAsia"/>
                      <w14:ligatures w14:val="standardContextual"/>
                    </w:rPr>
                    <w:t>烟气黑度（林格曼黑度，级）</w:t>
                  </w:r>
                </w:p>
              </w:tc>
              <w:tc>
                <w:tcPr>
                  <w:tcW w:w="1413" w:type="pct"/>
                  <w:vAlign w:val="center"/>
                </w:tcPr>
                <w:p w14:paraId="388FDEDD">
                  <w:pPr>
                    <w:widowControl w:val="0"/>
                    <w:overflowPunct w:val="0"/>
                    <w:autoSpaceDE w:val="0"/>
                    <w:autoSpaceDN w:val="0"/>
                    <w:snapToGrid w:val="0"/>
                    <w:jc w:val="center"/>
                    <w:rPr>
                      <w14:ligatures w14:val="standardContextual"/>
                    </w:rPr>
                  </w:pPr>
                  <w:r>
                    <w:rPr>
                      <w:rFonts w:hint="eastAsia"/>
                      <w14:ligatures w14:val="standardContextual"/>
                    </w:rPr>
                    <w:t>≤1</w:t>
                  </w:r>
                </w:p>
              </w:tc>
              <w:tc>
                <w:tcPr>
                  <w:tcW w:w="1565" w:type="pct"/>
                  <w:vAlign w:val="center"/>
                </w:tcPr>
                <w:p w14:paraId="0265A41F">
                  <w:pPr>
                    <w:widowControl w:val="0"/>
                    <w:overflowPunct w:val="0"/>
                    <w:autoSpaceDE w:val="0"/>
                    <w:autoSpaceDN w:val="0"/>
                    <w:snapToGrid w:val="0"/>
                    <w:jc w:val="center"/>
                    <w:rPr>
                      <w14:ligatures w14:val="standardContextual"/>
                    </w:rPr>
                  </w:pPr>
                  <w:r>
                    <w:rPr>
                      <w:rFonts w:hint="eastAsia"/>
                      <w14:ligatures w14:val="standardContextual"/>
                    </w:rPr>
                    <w:t>烟囱排放口</w:t>
                  </w:r>
                </w:p>
              </w:tc>
            </w:tr>
          </w:tbl>
          <w:p w14:paraId="4D3C6B41">
            <w:pPr>
              <w:pStyle w:val="3"/>
              <w:ind w:firstLine="480"/>
            </w:pPr>
            <w:bookmarkStart w:id="150" w:name="OLE_LINK226"/>
            <w:r>
              <w:rPr>
                <w:rFonts w:hint="eastAsia"/>
              </w:rPr>
              <w:t>生物质</w:t>
            </w:r>
            <w:bookmarkEnd w:id="150"/>
            <w:r>
              <w:rPr>
                <w:rFonts w:hint="eastAsia"/>
              </w:rPr>
              <w:t>锅炉燃烧废气执行</w:t>
            </w:r>
            <w:bookmarkStart w:id="151" w:name="OLE_LINK238"/>
            <w:r>
              <w:rPr>
                <w:rFonts w:hint="eastAsia"/>
              </w:rPr>
              <w:t>《锅炉大气污染物排放标准》(GB13271-2014）</w:t>
            </w:r>
            <w:bookmarkEnd w:id="151"/>
            <w:r>
              <w:rPr>
                <w:rFonts w:hint="eastAsia"/>
              </w:rPr>
              <w:t>表2新根据该标准“4.5每个新建燃煤锅炉房只能设一根烟囱，烟囱高度应根据锅炉房装机总容量，按表4规定执行，燃油、燃气锅炉烟囱不低于8米，锅炉烟囱的具体高度按批复的环境影响评价文件确定。新建锅炉房的烟囱周围半径200m距离内有建筑物时，其烟囱应高出最高建筑物3m以上。”本项目锅炉总容量为32t/h，锅炉排气筒高度设置45米。</w:t>
            </w:r>
          </w:p>
          <w:p w14:paraId="21EB7974">
            <w:pPr>
              <w:pStyle w:val="51"/>
            </w:pPr>
            <w:bookmarkStart w:id="152" w:name="OLE_LINK54"/>
            <w:r>
              <w:drawing>
                <wp:inline distT="0" distB="0" distL="0" distR="0">
                  <wp:extent cx="5060315" cy="1021080"/>
                  <wp:effectExtent l="0" t="0" r="6985" b="7620"/>
                  <wp:docPr id="13682249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224955" name="图片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060315" cy="1021080"/>
                          </a:xfrm>
                          <a:prstGeom prst="rect">
                            <a:avLst/>
                          </a:prstGeom>
                          <a:noFill/>
                          <a:ln>
                            <a:noFill/>
                          </a:ln>
                        </pic:spPr>
                      </pic:pic>
                    </a:graphicData>
                  </a:graphic>
                </wp:inline>
              </w:drawing>
            </w:r>
            <w:bookmarkEnd w:id="152"/>
          </w:p>
          <w:p w14:paraId="7EF6B856">
            <w:pPr>
              <w:pStyle w:val="7"/>
              <w:rPr>
                <w:highlight w:val="yellow"/>
              </w:rPr>
            </w:pPr>
            <w:r>
              <w:rPr>
                <w:rFonts w:hint="eastAsia"/>
              </w:rPr>
              <w:t>2、水污染物排放标准</w:t>
            </w:r>
          </w:p>
          <w:p w14:paraId="5A0AB35A">
            <w:pPr>
              <w:pStyle w:val="3"/>
              <w:ind w:firstLine="480"/>
            </w:pPr>
            <w:r>
              <w:rPr>
                <w:rFonts w:hint="eastAsia"/>
              </w:rPr>
              <w:t>（1）施工期</w:t>
            </w:r>
          </w:p>
          <w:p w14:paraId="678F6420">
            <w:pPr>
              <w:pStyle w:val="3"/>
              <w:ind w:firstLine="480"/>
            </w:pPr>
            <w:r>
              <w:rPr>
                <w:rFonts w:hint="eastAsia"/>
              </w:rPr>
              <w:t>施工废水主要包括场地及机械设备冲洗水，经沉淀池处理后回用于施工场地洒水降尘及机械清洗。</w:t>
            </w:r>
          </w:p>
          <w:p w14:paraId="6F3C7F90">
            <w:pPr>
              <w:pStyle w:val="3"/>
              <w:ind w:firstLine="480"/>
            </w:pPr>
            <w:r>
              <w:rPr>
                <w:rFonts w:hint="eastAsia"/>
              </w:rPr>
              <w:t>（2）运营期</w:t>
            </w:r>
          </w:p>
          <w:p w14:paraId="3B5517B2">
            <w:pPr>
              <w:pStyle w:val="3"/>
              <w:ind w:firstLine="480"/>
            </w:pPr>
            <w:r>
              <w:rPr>
                <w:rFonts w:hint="eastAsia"/>
              </w:rPr>
              <w:t>项目废水主要为W1</w:t>
            </w:r>
            <w:bookmarkStart w:id="153" w:name="OLE_LINK74"/>
            <w:r>
              <w:rPr>
                <w:rFonts w:hint="eastAsia"/>
              </w:rPr>
              <w:t>软水制备废水</w:t>
            </w:r>
            <w:bookmarkEnd w:id="153"/>
            <w:r>
              <w:rPr>
                <w:rFonts w:hint="eastAsia"/>
              </w:rPr>
              <w:t>、W2锅炉排污水、W3</w:t>
            </w:r>
            <w:bookmarkStart w:id="154" w:name="OLE_LINK71"/>
            <w:r>
              <w:rPr>
                <w:rFonts w:hint="eastAsia"/>
              </w:rPr>
              <w:t>生活污水</w:t>
            </w:r>
            <w:bookmarkEnd w:id="154"/>
            <w:r>
              <w:rPr>
                <w:rFonts w:hint="eastAsia"/>
              </w:rPr>
              <w:t>。</w:t>
            </w:r>
            <w:bookmarkStart w:id="155" w:name="OLE_LINK73"/>
            <w:r>
              <w:rPr>
                <w:rFonts w:hint="eastAsia"/>
              </w:rPr>
              <w:t>生产废水</w:t>
            </w:r>
            <w:r>
              <w:rPr>
                <w:rFonts w:hint="eastAsia"/>
                <w:szCs w:val="24"/>
              </w:rPr>
              <w:t>直接经园区污水管网进入大榄坪污水处理厂处理，</w:t>
            </w:r>
            <w:r>
              <w:rPr>
                <w:rFonts w:hint="eastAsia"/>
              </w:rPr>
              <w:t>生活污水</w:t>
            </w:r>
            <w:r>
              <w:rPr>
                <w:rFonts w:hint="eastAsia"/>
                <w:szCs w:val="24"/>
              </w:rPr>
              <w:t>经化粪池处理后经园区污水管网进入大榄坪污水处理厂处理。</w:t>
            </w:r>
            <w:bookmarkEnd w:id="155"/>
          </w:p>
          <w:p w14:paraId="68047607">
            <w:pPr>
              <w:pStyle w:val="3"/>
              <w:ind w:firstLine="480"/>
            </w:pPr>
            <w:r>
              <w:rPr>
                <w:rFonts w:hint="eastAsia"/>
              </w:rPr>
              <w:t>大榄坪污水处理厂尾水达到《城镇污水处理厂污染物排放标准》（GB18918-2002）一级A标准限值要求后排入海域。</w:t>
            </w:r>
          </w:p>
          <w:p w14:paraId="517F9AE5">
            <w:pPr>
              <w:pStyle w:val="49"/>
            </w:pPr>
            <w:r>
              <w:rPr>
                <w:rFonts w:hint="eastAsia"/>
              </w:rPr>
              <w:t xml:space="preserve">表3- </w:t>
            </w:r>
            <w:r>
              <w:t>5</w:t>
            </w:r>
            <w:r>
              <w:rPr>
                <w:rFonts w:hint="eastAsia"/>
              </w:rPr>
              <w:t>：项目废水排放标准    单位：mg/L（除pH外）</w:t>
            </w:r>
          </w:p>
          <w:tbl>
            <w:tblPr>
              <w:tblStyle w:val="5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3476"/>
              <w:gridCol w:w="578"/>
              <w:gridCol w:w="766"/>
              <w:gridCol w:w="844"/>
              <w:gridCol w:w="567"/>
              <w:gridCol w:w="707"/>
              <w:gridCol w:w="536"/>
              <w:gridCol w:w="506"/>
            </w:tblGrid>
            <w:tr w14:paraId="7D127E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178" w:type="pct"/>
                  <w:tcBorders>
                    <w:top w:val="single" w:color="auto" w:sz="12" w:space="0"/>
                    <w:left w:val="nil"/>
                    <w:bottom w:val="single" w:color="auto" w:sz="12" w:space="0"/>
                    <w:right w:val="single" w:color="auto" w:sz="4" w:space="0"/>
                    <w:insideH w:val="single" w:sz="12" w:space="0"/>
                    <w:insideV w:val="single" w:sz="4" w:space="0"/>
                    <w:tl2br w:val="nil"/>
                    <w:tr2bl w:val="nil"/>
                  </w:tcBorders>
                  <w:vAlign w:val="center"/>
                </w:tcPr>
                <w:p w14:paraId="5EC3056A">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z w:val="21"/>
                      <w:szCs w:val="21"/>
                      <w14:ligatures w14:val="standardContextual"/>
                    </w:rPr>
                  </w:pPr>
                  <w:r>
                    <w:rPr>
                      <w:rFonts w:hint="default" w:ascii="Times New Roman" w:hAnsi="Times New Roman" w:eastAsia="宋体" w:cs="Times New Roman"/>
                      <w:b/>
                      <w:i w:val="0"/>
                      <w:sz w:val="21"/>
                      <w:szCs w:val="21"/>
                      <w14:ligatures w14:val="standardContextual"/>
                    </w:rPr>
                    <w:t>项目</w:t>
                  </w:r>
                </w:p>
              </w:tc>
              <w:tc>
                <w:tcPr>
                  <w:tcW w:w="362"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7AB398BC">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z w:val="21"/>
                      <w:szCs w:val="21"/>
                      <w14:ligatures w14:val="standardContextual"/>
                    </w:rPr>
                  </w:pPr>
                  <w:r>
                    <w:rPr>
                      <w:rFonts w:hint="default" w:ascii="Times New Roman" w:hAnsi="Times New Roman" w:eastAsia="宋体" w:cs="Times New Roman"/>
                      <w:b/>
                      <w:i w:val="0"/>
                      <w:sz w:val="21"/>
                      <w:szCs w:val="21"/>
                      <w14:ligatures w14:val="standardContextual"/>
                    </w:rPr>
                    <w:t>pH</w:t>
                  </w:r>
                </w:p>
              </w:tc>
              <w:tc>
                <w:tcPr>
                  <w:tcW w:w="480"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56F74D58">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z w:val="21"/>
                      <w:szCs w:val="21"/>
                      <w:vertAlign w:val="subscript"/>
                      <w14:ligatures w14:val="standardContextual"/>
                    </w:rPr>
                  </w:pPr>
                  <w:r>
                    <w:rPr>
                      <w:rFonts w:hint="default" w:ascii="Times New Roman" w:hAnsi="Times New Roman" w:eastAsia="宋体" w:cs="Times New Roman"/>
                      <w:b/>
                      <w:i w:val="0"/>
                      <w:sz w:val="21"/>
                      <w:szCs w:val="21"/>
                      <w14:ligatures w14:val="standardContextual"/>
                    </w:rPr>
                    <w:t>COD</w:t>
                  </w:r>
                </w:p>
              </w:tc>
              <w:tc>
                <w:tcPr>
                  <w:tcW w:w="529"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685F1C48">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z w:val="21"/>
                      <w:szCs w:val="21"/>
                      <w:vertAlign w:val="subscript"/>
                      <w14:ligatures w14:val="standardContextual"/>
                    </w:rPr>
                  </w:pPr>
                  <w:r>
                    <w:rPr>
                      <w:rFonts w:hint="default" w:ascii="Times New Roman" w:hAnsi="Times New Roman" w:eastAsia="宋体" w:cs="Times New Roman"/>
                      <w:b/>
                      <w:i w:val="0"/>
                      <w:sz w:val="21"/>
                      <w:szCs w:val="21"/>
                      <w14:ligatures w14:val="standardContextual"/>
                    </w:rPr>
                    <w:t>BOD</w:t>
                  </w:r>
                  <w:r>
                    <w:rPr>
                      <w:rFonts w:hint="default" w:ascii="Times New Roman" w:hAnsi="Times New Roman" w:eastAsia="宋体" w:cs="Times New Roman"/>
                      <w:b/>
                      <w:i w:val="0"/>
                      <w:sz w:val="21"/>
                      <w:szCs w:val="21"/>
                      <w:vertAlign w:val="subscript"/>
                      <w14:ligatures w14:val="standardContextual"/>
                    </w:rPr>
                    <w:t>5</w:t>
                  </w:r>
                </w:p>
              </w:tc>
              <w:tc>
                <w:tcPr>
                  <w:tcW w:w="355"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23CCE4E7">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z w:val="21"/>
                      <w:szCs w:val="21"/>
                      <w14:ligatures w14:val="standardContextual"/>
                    </w:rPr>
                  </w:pPr>
                  <w:r>
                    <w:rPr>
                      <w:rFonts w:hint="default" w:ascii="Times New Roman" w:hAnsi="Times New Roman" w:eastAsia="宋体" w:cs="Times New Roman"/>
                      <w:b/>
                      <w:i w:val="0"/>
                      <w:sz w:val="21"/>
                      <w:szCs w:val="21"/>
                      <w14:ligatures w14:val="standardContextual"/>
                    </w:rPr>
                    <w:t>SS</w:t>
                  </w:r>
                </w:p>
              </w:tc>
              <w:tc>
                <w:tcPr>
                  <w:tcW w:w="443"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0676373B">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z w:val="21"/>
                      <w:szCs w:val="21"/>
                      <w14:ligatures w14:val="standardContextual"/>
                    </w:rPr>
                  </w:pPr>
                  <w:r>
                    <w:rPr>
                      <w:rFonts w:hint="default" w:ascii="Times New Roman" w:hAnsi="Times New Roman" w:eastAsia="宋体" w:cs="Times New Roman"/>
                      <w:b/>
                      <w:i w:val="0"/>
                      <w:sz w:val="21"/>
                      <w:szCs w:val="21"/>
                      <w14:ligatures w14:val="standardContextual"/>
                    </w:rPr>
                    <w:t>氨氮</w:t>
                  </w:r>
                </w:p>
              </w:tc>
              <w:tc>
                <w:tcPr>
                  <w:tcW w:w="336"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0704EC28">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z w:val="21"/>
                      <w:szCs w:val="21"/>
                      <w14:ligatures w14:val="standardContextual"/>
                    </w:rPr>
                  </w:pPr>
                  <w:r>
                    <w:rPr>
                      <w:rFonts w:hint="eastAsia" w:ascii="Times New Roman" w:hAnsi="Times New Roman" w:eastAsia="宋体" w:cs="Times New Roman"/>
                      <w:b/>
                      <w:i w:val="0"/>
                      <w:sz w:val="21"/>
                      <w:szCs w:val="21"/>
                      <w14:ligatures w14:val="standardContextual"/>
                    </w:rPr>
                    <w:t>TN</w:t>
                  </w:r>
                </w:p>
              </w:tc>
              <w:tc>
                <w:tcPr>
                  <w:tcW w:w="317" w:type="pct"/>
                  <w:tcBorders>
                    <w:top w:val="single" w:color="auto" w:sz="12" w:space="0"/>
                    <w:bottom w:val="single" w:color="auto" w:sz="12" w:space="0"/>
                    <w:right w:val="nil"/>
                    <w:insideH w:val="single" w:sz="12" w:space="0"/>
                    <w:insideV w:val="single" w:sz="4" w:space="0"/>
                    <w:tl2br w:val="nil"/>
                    <w:tr2bl w:val="nil"/>
                  </w:tcBorders>
                  <w:vAlign w:val="center"/>
                </w:tcPr>
                <w:p w14:paraId="62E46ED5">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z w:val="21"/>
                      <w:szCs w:val="21"/>
                      <w14:ligatures w14:val="standardContextual"/>
                    </w:rPr>
                  </w:pPr>
                  <w:r>
                    <w:rPr>
                      <w:rFonts w:hint="eastAsia" w:ascii="Times New Roman" w:hAnsi="Times New Roman" w:eastAsia="宋体" w:cs="Times New Roman"/>
                      <w:b/>
                      <w:i w:val="0"/>
                      <w:sz w:val="21"/>
                      <w:szCs w:val="21"/>
                      <w14:ligatures w14:val="standardContextual"/>
                    </w:rPr>
                    <w:t>TP</w:t>
                  </w:r>
                </w:p>
              </w:tc>
            </w:tr>
            <w:tr w14:paraId="16E30D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178" w:type="pct"/>
                  <w:vAlign w:val="center"/>
                </w:tcPr>
                <w:p w14:paraId="093C968E">
                  <w:pPr>
                    <w:widowControl w:val="0"/>
                    <w:overflowPunct w:val="0"/>
                    <w:autoSpaceDE w:val="0"/>
                    <w:autoSpaceDN w:val="0"/>
                    <w:snapToGrid w:val="0"/>
                    <w:jc w:val="center"/>
                    <w:rPr>
                      <w14:ligatures w14:val="standardContextual"/>
                    </w:rPr>
                  </w:pPr>
                  <w:r>
                    <w:rPr>
                      <w14:ligatures w14:val="standardContextual"/>
                    </w:rPr>
                    <w:t>大榄坪污水处理厂纳管标准</w:t>
                  </w:r>
                </w:p>
              </w:tc>
              <w:tc>
                <w:tcPr>
                  <w:tcW w:w="362" w:type="pct"/>
                  <w:vAlign w:val="center"/>
                </w:tcPr>
                <w:p w14:paraId="7468844C">
                  <w:pPr>
                    <w:widowControl w:val="0"/>
                    <w:overflowPunct w:val="0"/>
                    <w:autoSpaceDE w:val="0"/>
                    <w:autoSpaceDN w:val="0"/>
                    <w:snapToGrid w:val="0"/>
                    <w:jc w:val="center"/>
                    <w:rPr>
                      <w14:ligatures w14:val="standardContextual"/>
                    </w:rPr>
                  </w:pPr>
                  <w:r>
                    <w:rPr>
                      <w14:ligatures w14:val="standardContextual"/>
                    </w:rPr>
                    <w:t>6~9</w:t>
                  </w:r>
                </w:p>
              </w:tc>
              <w:tc>
                <w:tcPr>
                  <w:tcW w:w="480" w:type="pct"/>
                  <w:vAlign w:val="center"/>
                </w:tcPr>
                <w:p w14:paraId="68A85915">
                  <w:pPr>
                    <w:widowControl w:val="0"/>
                    <w:overflowPunct w:val="0"/>
                    <w:autoSpaceDE w:val="0"/>
                    <w:autoSpaceDN w:val="0"/>
                    <w:snapToGrid w:val="0"/>
                    <w:jc w:val="center"/>
                    <w:rPr>
                      <w14:ligatures w14:val="standardContextual"/>
                    </w:rPr>
                  </w:pPr>
                  <w:r>
                    <w:rPr>
                      <w14:ligatures w14:val="standardContextual"/>
                    </w:rPr>
                    <w:t>500</w:t>
                  </w:r>
                </w:p>
              </w:tc>
              <w:tc>
                <w:tcPr>
                  <w:tcW w:w="529" w:type="pct"/>
                  <w:vAlign w:val="center"/>
                </w:tcPr>
                <w:p w14:paraId="1D6E760A">
                  <w:pPr>
                    <w:widowControl w:val="0"/>
                    <w:overflowPunct w:val="0"/>
                    <w:autoSpaceDE w:val="0"/>
                    <w:autoSpaceDN w:val="0"/>
                    <w:snapToGrid w:val="0"/>
                    <w:jc w:val="center"/>
                    <w:rPr>
                      <w14:ligatures w14:val="standardContextual"/>
                    </w:rPr>
                  </w:pPr>
                  <w:r>
                    <w:rPr>
                      <w14:ligatures w14:val="standardContextual"/>
                    </w:rPr>
                    <w:t>200</w:t>
                  </w:r>
                </w:p>
              </w:tc>
              <w:tc>
                <w:tcPr>
                  <w:tcW w:w="355" w:type="pct"/>
                  <w:vAlign w:val="center"/>
                </w:tcPr>
                <w:p w14:paraId="31B31754">
                  <w:pPr>
                    <w:widowControl w:val="0"/>
                    <w:overflowPunct w:val="0"/>
                    <w:autoSpaceDE w:val="0"/>
                    <w:autoSpaceDN w:val="0"/>
                    <w:snapToGrid w:val="0"/>
                    <w:jc w:val="center"/>
                    <w:rPr>
                      <w14:ligatures w14:val="standardContextual"/>
                    </w:rPr>
                  </w:pPr>
                  <w:r>
                    <w:rPr>
                      <w14:ligatures w14:val="standardContextual"/>
                    </w:rPr>
                    <w:t>300</w:t>
                  </w:r>
                </w:p>
              </w:tc>
              <w:tc>
                <w:tcPr>
                  <w:tcW w:w="443" w:type="pct"/>
                  <w:vAlign w:val="center"/>
                </w:tcPr>
                <w:p w14:paraId="3E92C61C">
                  <w:pPr>
                    <w:widowControl w:val="0"/>
                    <w:overflowPunct w:val="0"/>
                    <w:autoSpaceDE w:val="0"/>
                    <w:autoSpaceDN w:val="0"/>
                    <w:snapToGrid w:val="0"/>
                    <w:jc w:val="center"/>
                    <w:rPr>
                      <w14:ligatures w14:val="standardContextual"/>
                    </w:rPr>
                  </w:pPr>
                  <w:r>
                    <w:rPr>
                      <w:rFonts w:hint="eastAsia"/>
                      <w14:ligatures w14:val="standardContextual"/>
                    </w:rPr>
                    <w:t>35</w:t>
                  </w:r>
                </w:p>
              </w:tc>
              <w:tc>
                <w:tcPr>
                  <w:tcW w:w="336" w:type="pct"/>
                  <w:vAlign w:val="center"/>
                </w:tcPr>
                <w:p w14:paraId="1FC6FCC9">
                  <w:pPr>
                    <w:widowControl w:val="0"/>
                    <w:overflowPunct w:val="0"/>
                    <w:autoSpaceDE w:val="0"/>
                    <w:autoSpaceDN w:val="0"/>
                    <w:snapToGrid w:val="0"/>
                    <w:jc w:val="center"/>
                    <w:rPr>
                      <w14:ligatures w14:val="standardContextual"/>
                    </w:rPr>
                  </w:pPr>
                  <w:r>
                    <w:rPr>
                      <w:rFonts w:hint="eastAsia"/>
                      <w14:ligatures w14:val="standardContextual"/>
                    </w:rPr>
                    <w:t>45</w:t>
                  </w:r>
                </w:p>
              </w:tc>
              <w:tc>
                <w:tcPr>
                  <w:tcW w:w="317" w:type="pct"/>
                  <w:vAlign w:val="center"/>
                </w:tcPr>
                <w:p w14:paraId="2FDC71FA">
                  <w:pPr>
                    <w:widowControl w:val="0"/>
                    <w:overflowPunct w:val="0"/>
                    <w:autoSpaceDE w:val="0"/>
                    <w:autoSpaceDN w:val="0"/>
                    <w:snapToGrid w:val="0"/>
                    <w:jc w:val="center"/>
                    <w:rPr>
                      <w14:ligatures w14:val="standardContextual"/>
                    </w:rPr>
                  </w:pPr>
                  <w:r>
                    <w:rPr>
                      <w:rFonts w:hint="eastAsia"/>
                      <w14:ligatures w14:val="standardContextual"/>
                    </w:rPr>
                    <w:t>4.5</w:t>
                  </w:r>
                </w:p>
              </w:tc>
            </w:tr>
          </w:tbl>
          <w:p w14:paraId="140B2AB0">
            <w:pPr>
              <w:pStyle w:val="7"/>
            </w:pPr>
            <w:r>
              <w:rPr>
                <w:rFonts w:hint="eastAsia"/>
              </w:rPr>
              <w:t>3、噪声排放标准</w:t>
            </w:r>
          </w:p>
          <w:p w14:paraId="0B717051">
            <w:pPr>
              <w:pStyle w:val="3"/>
              <w:ind w:firstLine="480"/>
            </w:pPr>
            <w:r>
              <w:rPr>
                <w:rFonts w:hint="eastAsia"/>
              </w:rPr>
              <w:t>项目施工期场界噪声排放执行《建筑施工场界环境噪声排放标准》（GB12523-2011）中表1标准；</w:t>
            </w:r>
          </w:p>
          <w:p w14:paraId="19EE86C1">
            <w:pPr>
              <w:pStyle w:val="3"/>
              <w:ind w:firstLine="480"/>
            </w:pPr>
            <w:r>
              <w:rPr>
                <w:rFonts w:hint="eastAsia"/>
              </w:rPr>
              <w:t>项目运营期厂界噪声执行《工业企业厂界环境噪声排放标准》（GB12348-2008）中的3类标准值。</w:t>
            </w:r>
          </w:p>
          <w:p w14:paraId="6EB45DD9">
            <w:pPr>
              <w:pStyle w:val="3"/>
              <w:ind w:firstLine="480"/>
            </w:pPr>
            <w:r>
              <w:rPr>
                <w:rFonts w:hint="eastAsia"/>
              </w:rPr>
              <w:t>具体标准值见下表。</w:t>
            </w:r>
          </w:p>
          <w:p w14:paraId="18812F77">
            <w:pPr>
              <w:pStyle w:val="49"/>
            </w:pPr>
            <w:bookmarkStart w:id="156" w:name="OLE_LINK218"/>
            <w:r>
              <w:rPr>
                <w:rFonts w:hint="eastAsia"/>
              </w:rPr>
              <w:t xml:space="preserve">表3- </w:t>
            </w:r>
            <w:r>
              <w:t>6</w:t>
            </w:r>
            <w:r>
              <w:rPr>
                <w:rFonts w:hint="eastAsia"/>
              </w:rPr>
              <w:t>：</w:t>
            </w:r>
            <w:bookmarkEnd w:id="156"/>
            <w:r>
              <w:rPr>
                <w:rFonts w:hint="eastAsia"/>
              </w:rPr>
              <w:t>项目厂界噪声标准值  单位dB（A）</w:t>
            </w:r>
          </w:p>
          <w:tbl>
            <w:tblPr>
              <w:tblStyle w:val="20"/>
              <w:tblW w:w="793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1715"/>
              <w:gridCol w:w="706"/>
              <w:gridCol w:w="706"/>
              <w:gridCol w:w="1272"/>
              <w:gridCol w:w="3539"/>
            </w:tblGrid>
            <w:tr w14:paraId="792404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080" w:type="pct"/>
                  <w:tcBorders>
                    <w:top w:val="single" w:color="auto" w:sz="12" w:space="0"/>
                    <w:left w:val="nil"/>
                    <w:bottom w:val="single" w:color="auto" w:sz="12" w:space="0"/>
                    <w:right w:val="single" w:color="auto" w:sz="4" w:space="0"/>
                    <w:tl2br w:val="nil"/>
                    <w:tr2bl w:val="nil"/>
                  </w:tcBorders>
                  <w:shd w:val="clear" w:color="auto" w:fill="auto"/>
                  <w:vAlign w:val="center"/>
                </w:tcPr>
                <w:p w14:paraId="2F06B5C8">
                  <w:pPr>
                    <w:widowControl w:val="0"/>
                    <w:overflowPunct w:val="0"/>
                    <w:autoSpaceDE w:val="0"/>
                    <w:autoSpaceDN w:val="0"/>
                    <w:snapToGrid w:val="0"/>
                    <w:jc w:val="center"/>
                    <w:rPr>
                      <w:b/>
                      <w:snapToGrid w:val="0"/>
                    </w:rPr>
                  </w:pPr>
                  <w:r>
                    <w:rPr>
                      <w:b/>
                      <w:snapToGrid w:val="0"/>
                    </w:rPr>
                    <w:t>类别</w:t>
                  </w:r>
                </w:p>
              </w:tc>
              <w:tc>
                <w:tcPr>
                  <w:tcW w:w="890" w:type="pct"/>
                  <w:gridSpan w:val="2"/>
                  <w:tcBorders>
                    <w:top w:val="single" w:color="auto" w:sz="12" w:space="0"/>
                    <w:left w:val="single" w:color="auto" w:sz="4" w:space="0"/>
                    <w:bottom w:val="single" w:color="auto" w:sz="12" w:space="0"/>
                    <w:right w:val="single" w:color="auto" w:sz="4" w:space="0"/>
                    <w:tl2br w:val="nil"/>
                    <w:tr2bl w:val="nil"/>
                  </w:tcBorders>
                  <w:shd w:val="clear" w:color="auto" w:fill="auto"/>
                  <w:vAlign w:val="center"/>
                </w:tcPr>
                <w:p w14:paraId="2F78936C">
                  <w:pPr>
                    <w:widowControl w:val="0"/>
                    <w:overflowPunct w:val="0"/>
                    <w:autoSpaceDE w:val="0"/>
                    <w:autoSpaceDN w:val="0"/>
                    <w:snapToGrid w:val="0"/>
                    <w:jc w:val="center"/>
                    <w:rPr>
                      <w:b/>
                      <w:snapToGrid w:val="0"/>
                    </w:rPr>
                  </w:pPr>
                  <w:r>
                    <w:rPr>
                      <w:b/>
                      <w:snapToGrid w:val="0"/>
                    </w:rPr>
                    <w:t>污染物名称</w:t>
                  </w:r>
                </w:p>
              </w:tc>
              <w:tc>
                <w:tcPr>
                  <w:tcW w:w="801" w:type="pct"/>
                  <w:tcBorders>
                    <w:top w:val="single" w:color="auto" w:sz="12" w:space="0"/>
                    <w:left w:val="single" w:color="auto" w:sz="4" w:space="0"/>
                    <w:bottom w:val="single" w:color="auto" w:sz="12" w:space="0"/>
                    <w:right w:val="single" w:color="auto" w:sz="4" w:space="0"/>
                    <w:tl2br w:val="nil"/>
                    <w:tr2bl w:val="nil"/>
                  </w:tcBorders>
                  <w:shd w:val="clear" w:color="auto" w:fill="auto"/>
                  <w:vAlign w:val="center"/>
                </w:tcPr>
                <w:p w14:paraId="3FBC60F0">
                  <w:pPr>
                    <w:widowControl w:val="0"/>
                    <w:overflowPunct w:val="0"/>
                    <w:autoSpaceDE w:val="0"/>
                    <w:autoSpaceDN w:val="0"/>
                    <w:snapToGrid w:val="0"/>
                    <w:jc w:val="center"/>
                    <w:rPr>
                      <w:b/>
                      <w:snapToGrid w:val="0"/>
                    </w:rPr>
                  </w:pPr>
                  <w:r>
                    <w:rPr>
                      <w:b/>
                      <w:snapToGrid w:val="0"/>
                    </w:rPr>
                    <w:t>标准限值</w:t>
                  </w:r>
                </w:p>
              </w:tc>
              <w:tc>
                <w:tcPr>
                  <w:tcW w:w="2229" w:type="pct"/>
                  <w:tcBorders>
                    <w:top w:val="single" w:color="auto" w:sz="12" w:space="0"/>
                    <w:left w:val="single" w:color="auto" w:sz="4" w:space="0"/>
                    <w:bottom w:val="single" w:color="auto" w:sz="12" w:space="0"/>
                    <w:right w:val="nil"/>
                    <w:tl2br w:val="nil"/>
                    <w:tr2bl w:val="nil"/>
                  </w:tcBorders>
                  <w:shd w:val="clear" w:color="auto" w:fill="auto"/>
                  <w:vAlign w:val="center"/>
                </w:tcPr>
                <w:p w14:paraId="38DFB4B3">
                  <w:pPr>
                    <w:widowControl w:val="0"/>
                    <w:overflowPunct w:val="0"/>
                    <w:autoSpaceDE w:val="0"/>
                    <w:autoSpaceDN w:val="0"/>
                    <w:snapToGrid w:val="0"/>
                    <w:jc w:val="center"/>
                    <w:rPr>
                      <w:b/>
                      <w:snapToGrid w:val="0"/>
                    </w:rPr>
                  </w:pPr>
                  <w:r>
                    <w:rPr>
                      <w:b/>
                      <w:snapToGrid w:val="0"/>
                    </w:rPr>
                    <w:t>来源</w:t>
                  </w:r>
                </w:p>
              </w:tc>
            </w:tr>
            <w:tr w14:paraId="1CF8F4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080" w:type="pct"/>
                  <w:vMerge w:val="restart"/>
                  <w:shd w:val="clear" w:color="auto" w:fill="auto"/>
                  <w:vAlign w:val="center"/>
                </w:tcPr>
                <w:p w14:paraId="75DBFB02">
                  <w:pPr>
                    <w:widowControl w:val="0"/>
                    <w:overflowPunct w:val="0"/>
                    <w:autoSpaceDE w:val="0"/>
                    <w:autoSpaceDN w:val="0"/>
                    <w:snapToGrid w:val="0"/>
                    <w:jc w:val="center"/>
                    <w:rPr>
                      <w:snapToGrid w:val="0"/>
                    </w:rPr>
                  </w:pPr>
                  <w:r>
                    <w:rPr>
                      <w:rFonts w:hint="eastAsia"/>
                      <w:snapToGrid w:val="0"/>
                    </w:rPr>
                    <w:t>施工期厂界噪声</w:t>
                  </w:r>
                </w:p>
              </w:tc>
              <w:tc>
                <w:tcPr>
                  <w:tcW w:w="445" w:type="pct"/>
                  <w:vMerge w:val="restart"/>
                  <w:shd w:val="clear" w:color="auto" w:fill="auto"/>
                  <w:vAlign w:val="center"/>
                </w:tcPr>
                <w:p w14:paraId="133982D3">
                  <w:pPr>
                    <w:widowControl w:val="0"/>
                    <w:overflowPunct w:val="0"/>
                    <w:autoSpaceDE w:val="0"/>
                    <w:autoSpaceDN w:val="0"/>
                    <w:snapToGrid w:val="0"/>
                    <w:jc w:val="center"/>
                  </w:pPr>
                  <w:r>
                    <w:t>等效A声级</w:t>
                  </w:r>
                </w:p>
              </w:tc>
              <w:tc>
                <w:tcPr>
                  <w:tcW w:w="445" w:type="pct"/>
                  <w:shd w:val="clear" w:color="auto" w:fill="auto"/>
                  <w:vAlign w:val="center"/>
                </w:tcPr>
                <w:p w14:paraId="205C9F50">
                  <w:pPr>
                    <w:widowControl w:val="0"/>
                    <w:overflowPunct w:val="0"/>
                    <w:autoSpaceDE w:val="0"/>
                    <w:autoSpaceDN w:val="0"/>
                    <w:snapToGrid w:val="0"/>
                    <w:jc w:val="center"/>
                  </w:pPr>
                  <w:r>
                    <w:t>昼间</w:t>
                  </w:r>
                </w:p>
              </w:tc>
              <w:tc>
                <w:tcPr>
                  <w:tcW w:w="801" w:type="pct"/>
                  <w:shd w:val="clear" w:color="auto" w:fill="auto"/>
                  <w:vAlign w:val="center"/>
                </w:tcPr>
                <w:p w14:paraId="1C587E8E">
                  <w:pPr>
                    <w:widowControl w:val="0"/>
                    <w:overflowPunct w:val="0"/>
                    <w:autoSpaceDE w:val="0"/>
                    <w:autoSpaceDN w:val="0"/>
                    <w:snapToGrid w:val="0"/>
                    <w:jc w:val="center"/>
                  </w:pPr>
                  <w:r>
                    <w:rPr>
                      <w:rFonts w:hint="eastAsia"/>
                    </w:rPr>
                    <w:t>70</w:t>
                  </w:r>
                </w:p>
              </w:tc>
              <w:tc>
                <w:tcPr>
                  <w:tcW w:w="2229" w:type="pct"/>
                  <w:vMerge w:val="restart"/>
                  <w:shd w:val="clear" w:color="auto" w:fill="auto"/>
                  <w:vAlign w:val="center"/>
                </w:tcPr>
                <w:p w14:paraId="09FBD3CC">
                  <w:pPr>
                    <w:widowControl w:val="0"/>
                    <w:overflowPunct w:val="0"/>
                    <w:autoSpaceDE w:val="0"/>
                    <w:autoSpaceDN w:val="0"/>
                    <w:snapToGrid w:val="0"/>
                    <w:jc w:val="center"/>
                    <w:rPr>
                      <w:snapToGrid w:val="0"/>
                    </w:rPr>
                  </w:pPr>
                  <w:r>
                    <w:rPr>
                      <w:rFonts w:hint="eastAsia"/>
                      <w:snapToGrid w:val="0"/>
                    </w:rPr>
                    <w:t>《建筑施工场界环境噪声排放标准》（GB12523-2011）中表1</w:t>
                  </w:r>
                </w:p>
              </w:tc>
            </w:tr>
            <w:tr w14:paraId="4179D2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080" w:type="pct"/>
                  <w:vMerge w:val="continue"/>
                  <w:shd w:val="clear" w:color="auto" w:fill="auto"/>
                  <w:vAlign w:val="center"/>
                </w:tcPr>
                <w:p w14:paraId="15BB5B1B">
                  <w:pPr>
                    <w:widowControl w:val="0"/>
                    <w:overflowPunct w:val="0"/>
                    <w:autoSpaceDE w:val="0"/>
                    <w:autoSpaceDN w:val="0"/>
                    <w:snapToGrid w:val="0"/>
                    <w:jc w:val="center"/>
                    <w:rPr>
                      <w:snapToGrid w:val="0"/>
                    </w:rPr>
                  </w:pPr>
                </w:p>
              </w:tc>
              <w:tc>
                <w:tcPr>
                  <w:tcW w:w="445" w:type="pct"/>
                  <w:vMerge w:val="continue"/>
                  <w:shd w:val="clear" w:color="auto" w:fill="auto"/>
                  <w:vAlign w:val="center"/>
                </w:tcPr>
                <w:p w14:paraId="4FA2D39B">
                  <w:pPr>
                    <w:widowControl w:val="0"/>
                    <w:overflowPunct w:val="0"/>
                    <w:autoSpaceDE w:val="0"/>
                    <w:autoSpaceDN w:val="0"/>
                    <w:snapToGrid w:val="0"/>
                    <w:jc w:val="center"/>
                  </w:pPr>
                </w:p>
              </w:tc>
              <w:tc>
                <w:tcPr>
                  <w:tcW w:w="445" w:type="pct"/>
                  <w:shd w:val="clear" w:color="auto" w:fill="auto"/>
                  <w:vAlign w:val="center"/>
                </w:tcPr>
                <w:p w14:paraId="349CAF03">
                  <w:pPr>
                    <w:widowControl w:val="0"/>
                    <w:overflowPunct w:val="0"/>
                    <w:autoSpaceDE w:val="0"/>
                    <w:autoSpaceDN w:val="0"/>
                    <w:snapToGrid w:val="0"/>
                    <w:jc w:val="center"/>
                  </w:pPr>
                  <w:r>
                    <w:t>夜间</w:t>
                  </w:r>
                </w:p>
              </w:tc>
              <w:tc>
                <w:tcPr>
                  <w:tcW w:w="801" w:type="pct"/>
                  <w:shd w:val="clear" w:color="auto" w:fill="auto"/>
                  <w:vAlign w:val="center"/>
                </w:tcPr>
                <w:p w14:paraId="79F2C76D">
                  <w:pPr>
                    <w:widowControl w:val="0"/>
                    <w:overflowPunct w:val="0"/>
                    <w:autoSpaceDE w:val="0"/>
                    <w:autoSpaceDN w:val="0"/>
                    <w:snapToGrid w:val="0"/>
                    <w:jc w:val="center"/>
                  </w:pPr>
                  <w:r>
                    <w:rPr>
                      <w:rFonts w:hint="eastAsia"/>
                    </w:rPr>
                    <w:t>55</w:t>
                  </w:r>
                </w:p>
              </w:tc>
              <w:tc>
                <w:tcPr>
                  <w:tcW w:w="2229" w:type="pct"/>
                  <w:vMerge w:val="continue"/>
                  <w:shd w:val="clear" w:color="auto" w:fill="auto"/>
                  <w:vAlign w:val="center"/>
                </w:tcPr>
                <w:p w14:paraId="71D9896B">
                  <w:pPr>
                    <w:widowControl w:val="0"/>
                    <w:overflowPunct w:val="0"/>
                    <w:autoSpaceDE w:val="0"/>
                    <w:autoSpaceDN w:val="0"/>
                    <w:snapToGrid w:val="0"/>
                    <w:jc w:val="center"/>
                    <w:rPr>
                      <w:snapToGrid w:val="0"/>
                    </w:rPr>
                  </w:pPr>
                </w:p>
              </w:tc>
            </w:tr>
            <w:tr w14:paraId="63E284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080" w:type="pct"/>
                  <w:vMerge w:val="restart"/>
                  <w:shd w:val="clear" w:color="auto" w:fill="auto"/>
                  <w:vAlign w:val="center"/>
                </w:tcPr>
                <w:p w14:paraId="798FF8E3">
                  <w:pPr>
                    <w:widowControl w:val="0"/>
                    <w:overflowPunct w:val="0"/>
                    <w:autoSpaceDE w:val="0"/>
                    <w:autoSpaceDN w:val="0"/>
                    <w:snapToGrid w:val="0"/>
                    <w:jc w:val="center"/>
                    <w:rPr>
                      <w:snapToGrid w:val="0"/>
                    </w:rPr>
                  </w:pPr>
                  <w:r>
                    <w:rPr>
                      <w:rFonts w:hint="eastAsia"/>
                      <w:snapToGrid w:val="0"/>
                    </w:rPr>
                    <w:t>运营期</w:t>
                  </w:r>
                  <w:r>
                    <w:rPr>
                      <w:snapToGrid w:val="0"/>
                    </w:rPr>
                    <w:t>厂界噪声</w:t>
                  </w:r>
                </w:p>
              </w:tc>
              <w:tc>
                <w:tcPr>
                  <w:tcW w:w="445" w:type="pct"/>
                  <w:vMerge w:val="restart"/>
                  <w:shd w:val="clear" w:color="auto" w:fill="auto"/>
                  <w:vAlign w:val="center"/>
                </w:tcPr>
                <w:p w14:paraId="234C121B">
                  <w:pPr>
                    <w:widowControl w:val="0"/>
                    <w:overflowPunct w:val="0"/>
                    <w:autoSpaceDE w:val="0"/>
                    <w:autoSpaceDN w:val="0"/>
                    <w:snapToGrid w:val="0"/>
                    <w:jc w:val="center"/>
                  </w:pPr>
                  <w:r>
                    <w:t>等效A声级</w:t>
                  </w:r>
                </w:p>
              </w:tc>
              <w:tc>
                <w:tcPr>
                  <w:tcW w:w="445" w:type="pct"/>
                  <w:shd w:val="clear" w:color="auto" w:fill="auto"/>
                  <w:vAlign w:val="center"/>
                </w:tcPr>
                <w:p w14:paraId="385F502E">
                  <w:pPr>
                    <w:widowControl w:val="0"/>
                    <w:overflowPunct w:val="0"/>
                    <w:autoSpaceDE w:val="0"/>
                    <w:autoSpaceDN w:val="0"/>
                    <w:snapToGrid w:val="0"/>
                    <w:jc w:val="center"/>
                    <w:rPr>
                      <w:snapToGrid w:val="0"/>
                    </w:rPr>
                  </w:pPr>
                  <w:r>
                    <w:t>昼间</w:t>
                  </w:r>
                </w:p>
              </w:tc>
              <w:tc>
                <w:tcPr>
                  <w:tcW w:w="801" w:type="pct"/>
                  <w:shd w:val="clear" w:color="auto" w:fill="auto"/>
                  <w:vAlign w:val="center"/>
                </w:tcPr>
                <w:p w14:paraId="3B93BB4B">
                  <w:pPr>
                    <w:widowControl w:val="0"/>
                    <w:overflowPunct w:val="0"/>
                    <w:autoSpaceDE w:val="0"/>
                    <w:autoSpaceDN w:val="0"/>
                    <w:snapToGrid w:val="0"/>
                    <w:jc w:val="center"/>
                    <w:rPr>
                      <w:snapToGrid w:val="0"/>
                    </w:rPr>
                  </w:pPr>
                  <w:r>
                    <w:rPr>
                      <w:rFonts w:hint="eastAsia"/>
                    </w:rPr>
                    <w:t>65</w:t>
                  </w:r>
                </w:p>
              </w:tc>
              <w:tc>
                <w:tcPr>
                  <w:tcW w:w="2229" w:type="pct"/>
                  <w:vMerge w:val="restart"/>
                  <w:shd w:val="clear" w:color="auto" w:fill="auto"/>
                  <w:vAlign w:val="center"/>
                </w:tcPr>
                <w:p w14:paraId="2D850A22">
                  <w:pPr>
                    <w:widowControl w:val="0"/>
                    <w:overflowPunct w:val="0"/>
                    <w:autoSpaceDE w:val="0"/>
                    <w:autoSpaceDN w:val="0"/>
                    <w:snapToGrid w:val="0"/>
                    <w:jc w:val="center"/>
                    <w:rPr>
                      <w:snapToGrid w:val="0"/>
                    </w:rPr>
                  </w:pPr>
                  <w:r>
                    <w:rPr>
                      <w:snapToGrid w:val="0"/>
                    </w:rPr>
                    <w:t>《工业企业厂界环境噪声排放标准》（GB12348-2008）</w:t>
                  </w:r>
                  <w:r>
                    <w:rPr>
                      <w:rFonts w:hint="eastAsia"/>
                      <w:snapToGrid w:val="0"/>
                    </w:rPr>
                    <w:t>3</w:t>
                  </w:r>
                  <w:r>
                    <w:rPr>
                      <w:snapToGrid w:val="0"/>
                    </w:rPr>
                    <w:t>类标准</w:t>
                  </w:r>
                </w:p>
              </w:tc>
            </w:tr>
            <w:tr w14:paraId="0908F1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080" w:type="pct"/>
                  <w:vMerge w:val="continue"/>
                  <w:shd w:val="clear" w:color="auto" w:fill="auto"/>
                  <w:vAlign w:val="center"/>
                </w:tcPr>
                <w:p w14:paraId="0408E83F">
                  <w:pPr>
                    <w:widowControl w:val="0"/>
                    <w:overflowPunct w:val="0"/>
                    <w:autoSpaceDE w:val="0"/>
                    <w:autoSpaceDN w:val="0"/>
                    <w:snapToGrid w:val="0"/>
                    <w:jc w:val="center"/>
                    <w:rPr>
                      <w:snapToGrid w:val="0"/>
                    </w:rPr>
                  </w:pPr>
                </w:p>
              </w:tc>
              <w:tc>
                <w:tcPr>
                  <w:tcW w:w="445" w:type="pct"/>
                  <w:vMerge w:val="continue"/>
                  <w:shd w:val="clear" w:color="auto" w:fill="auto"/>
                  <w:vAlign w:val="center"/>
                </w:tcPr>
                <w:p w14:paraId="64C274FA">
                  <w:pPr>
                    <w:widowControl w:val="0"/>
                    <w:overflowPunct w:val="0"/>
                    <w:autoSpaceDE w:val="0"/>
                    <w:autoSpaceDN w:val="0"/>
                    <w:snapToGrid w:val="0"/>
                    <w:jc w:val="center"/>
                  </w:pPr>
                </w:p>
              </w:tc>
              <w:tc>
                <w:tcPr>
                  <w:tcW w:w="445" w:type="pct"/>
                  <w:shd w:val="clear" w:color="auto" w:fill="auto"/>
                  <w:vAlign w:val="center"/>
                </w:tcPr>
                <w:p w14:paraId="130E8E96">
                  <w:pPr>
                    <w:widowControl w:val="0"/>
                    <w:overflowPunct w:val="0"/>
                    <w:autoSpaceDE w:val="0"/>
                    <w:autoSpaceDN w:val="0"/>
                    <w:snapToGrid w:val="0"/>
                    <w:jc w:val="center"/>
                    <w:rPr>
                      <w:snapToGrid w:val="0"/>
                    </w:rPr>
                  </w:pPr>
                  <w:r>
                    <w:t>夜间</w:t>
                  </w:r>
                </w:p>
              </w:tc>
              <w:tc>
                <w:tcPr>
                  <w:tcW w:w="801" w:type="pct"/>
                  <w:shd w:val="clear" w:color="auto" w:fill="auto"/>
                  <w:vAlign w:val="center"/>
                </w:tcPr>
                <w:p w14:paraId="3080DC52">
                  <w:pPr>
                    <w:widowControl w:val="0"/>
                    <w:overflowPunct w:val="0"/>
                    <w:autoSpaceDE w:val="0"/>
                    <w:autoSpaceDN w:val="0"/>
                    <w:snapToGrid w:val="0"/>
                    <w:jc w:val="center"/>
                    <w:rPr>
                      <w:snapToGrid w:val="0"/>
                    </w:rPr>
                  </w:pPr>
                  <w:r>
                    <w:rPr>
                      <w:rFonts w:hint="eastAsia"/>
                    </w:rPr>
                    <w:t>55</w:t>
                  </w:r>
                </w:p>
              </w:tc>
              <w:tc>
                <w:tcPr>
                  <w:tcW w:w="2229" w:type="pct"/>
                  <w:vMerge w:val="continue"/>
                  <w:shd w:val="clear" w:color="auto" w:fill="auto"/>
                  <w:vAlign w:val="center"/>
                </w:tcPr>
                <w:p w14:paraId="5A9108BC">
                  <w:pPr>
                    <w:widowControl w:val="0"/>
                    <w:overflowPunct w:val="0"/>
                    <w:autoSpaceDE w:val="0"/>
                    <w:autoSpaceDN w:val="0"/>
                    <w:snapToGrid w:val="0"/>
                    <w:jc w:val="center"/>
                    <w:rPr>
                      <w:snapToGrid w:val="0"/>
                    </w:rPr>
                  </w:pPr>
                </w:p>
              </w:tc>
            </w:tr>
          </w:tbl>
          <w:p w14:paraId="3714A158">
            <w:pPr>
              <w:pStyle w:val="7"/>
            </w:pPr>
            <w:r>
              <w:rPr>
                <w:rFonts w:hint="eastAsia"/>
              </w:rPr>
              <w:t>4、固体废物污染控制标准</w:t>
            </w:r>
          </w:p>
          <w:p w14:paraId="2D7E7F17">
            <w:pPr>
              <w:pStyle w:val="3"/>
              <w:ind w:firstLine="480"/>
            </w:pPr>
            <w:r>
              <w:rPr>
                <w:rFonts w:hint="eastAsia"/>
              </w:rPr>
              <w:t>项目产生的固体废物的收集、暂存、运输、处置等环节均</w:t>
            </w:r>
            <w:r>
              <w:rPr>
                <w:rFonts w:hint="eastAsia"/>
                <w:color w:val="auto"/>
                <w:u w:val="single"/>
              </w:rPr>
              <w:t>应满足《中华人民共和国固体废物污染环境防治法（2020年修订）》有关规定要求；</w:t>
            </w:r>
            <w:bookmarkStart w:id="157" w:name="OLE_LINK37"/>
            <w:bookmarkStart w:id="158" w:name="OLE_LINK30"/>
            <w:r>
              <w:rPr>
                <w:rFonts w:hint="eastAsia"/>
                <w:color w:val="auto"/>
                <w:u w:val="single"/>
              </w:rPr>
              <w:t>一般工业固废满</w:t>
            </w:r>
            <w:bookmarkEnd w:id="157"/>
            <w:r>
              <w:rPr>
                <w:rFonts w:hint="eastAsia"/>
                <w:color w:val="auto"/>
                <w:u w:val="single"/>
              </w:rPr>
              <w:t>足防渗漏、防雨淋、防扬尘等环境保护要求；</w:t>
            </w:r>
            <w:bookmarkEnd w:id="158"/>
            <w:bookmarkStart w:id="159" w:name="OLE_LINK28"/>
            <w:r>
              <w:rPr>
                <w:rFonts w:hint="eastAsia"/>
              </w:rPr>
              <w:t>危险</w:t>
            </w:r>
            <w:bookmarkEnd w:id="159"/>
            <w:r>
              <w:rPr>
                <w:rFonts w:hint="eastAsia"/>
              </w:rPr>
              <w:t>废物执行《危险废物贮存污染控制标准》(GB18597-2023)；生活垃圾应实施分类收集管理，执行《中华人民共和国固体废物污染环境防治法（2020年修订）》。</w:t>
            </w:r>
          </w:p>
        </w:tc>
      </w:tr>
      <w:tr w14:paraId="5E212F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440" w:type="pct"/>
            <w:vAlign w:val="center"/>
          </w:tcPr>
          <w:p w14:paraId="38CF9DAA">
            <w:pPr>
              <w:snapToGrid w:val="0"/>
              <w:jc w:val="center"/>
              <w:rPr>
                <w:rFonts w:cs="宋体"/>
                <w:sz w:val="24"/>
              </w:rPr>
            </w:pPr>
            <w:bookmarkStart w:id="160" w:name="OLE_LINK62"/>
            <w:r>
              <w:rPr>
                <w:rFonts w:hint="eastAsia" w:cs="宋体"/>
                <w:sz w:val="24"/>
              </w:rPr>
              <w:t>总量</w:t>
            </w:r>
          </w:p>
          <w:p w14:paraId="0FE050C3">
            <w:pPr>
              <w:snapToGrid w:val="0"/>
              <w:jc w:val="center"/>
              <w:rPr>
                <w:rFonts w:cs="宋体"/>
                <w:sz w:val="24"/>
              </w:rPr>
            </w:pPr>
            <w:r>
              <w:rPr>
                <w:rFonts w:hint="eastAsia" w:cs="宋体"/>
                <w:sz w:val="24"/>
              </w:rPr>
              <w:t>控制</w:t>
            </w:r>
          </w:p>
          <w:p w14:paraId="2B86FFB0">
            <w:pPr>
              <w:snapToGrid w:val="0"/>
              <w:jc w:val="center"/>
              <w:rPr>
                <w:rFonts w:cs="宋体"/>
                <w:sz w:val="24"/>
              </w:rPr>
            </w:pPr>
            <w:r>
              <w:rPr>
                <w:rFonts w:hint="eastAsia" w:cs="宋体"/>
                <w:sz w:val="24"/>
              </w:rPr>
              <w:t>指标</w:t>
            </w:r>
            <w:bookmarkEnd w:id="160"/>
          </w:p>
        </w:tc>
        <w:tc>
          <w:tcPr>
            <w:tcW w:w="4560" w:type="pct"/>
            <w:vAlign w:val="center"/>
          </w:tcPr>
          <w:p w14:paraId="750BDB46">
            <w:pPr>
              <w:pStyle w:val="3"/>
              <w:ind w:firstLine="480"/>
            </w:pPr>
            <w:bookmarkStart w:id="161" w:name="OLE_LINK296"/>
            <w:r>
              <w:rPr>
                <w:rFonts w:hint="eastAsia"/>
              </w:rPr>
              <w:t>根据国家总量控制指标体系要求，污染物的排放应满足区域总量控制指标要求。本项目废气污染物为颗粒物，不属于“十四五”建议总量控制污染物氮氧化物、挥发性有机物，故不申请废气污染物总量控制指标。本项目废水排入大榄坪污水处理厂处理，不直接外排，建议项目废水污染物</w:t>
            </w:r>
            <w:r>
              <w:t>COD</w:t>
            </w:r>
            <w:r>
              <w:rPr>
                <w:rFonts w:hint="eastAsia"/>
              </w:rPr>
              <w:t>、</w:t>
            </w:r>
            <w:r>
              <w:t>NH</w:t>
            </w:r>
            <w:r>
              <w:rPr>
                <w:vertAlign w:val="subscript"/>
              </w:rPr>
              <w:t>3</w:t>
            </w:r>
            <w:r>
              <w:t>-N</w:t>
            </w:r>
            <w:r>
              <w:rPr>
                <w:rFonts w:hint="eastAsia"/>
              </w:rPr>
              <w:t>总量控制指标纳入大榄坪污水处理厂内，不单独申请。</w:t>
            </w:r>
            <w:bookmarkEnd w:id="161"/>
          </w:p>
          <w:p w14:paraId="2C8F7E0E">
            <w:pPr>
              <w:pStyle w:val="3"/>
              <w:ind w:firstLine="480"/>
            </w:pPr>
            <w:bookmarkStart w:id="162" w:name="_Hlk188370513"/>
            <w:r>
              <w:rPr>
                <w:rFonts w:hint="eastAsia"/>
              </w:rPr>
              <w:t>项目涉及污染物总量控制为</w:t>
            </w:r>
            <w:r>
              <w:rPr>
                <w:rFonts w:hint="eastAsia" w:cs="宋体"/>
              </w:rPr>
              <w:t>生物质锅炉燃烧废气</w:t>
            </w:r>
            <w:r>
              <w:rPr>
                <w:rFonts w:hint="eastAsia"/>
              </w:rPr>
              <w:t>中的SO</w:t>
            </w:r>
            <w:r>
              <w:rPr>
                <w:rFonts w:hint="eastAsia"/>
                <w:vertAlign w:val="subscript"/>
              </w:rPr>
              <w:t>2</w:t>
            </w:r>
            <w:r>
              <w:rPr>
                <w:rFonts w:hint="eastAsia"/>
              </w:rPr>
              <w:t>、NOx，排放量分别为12.925 t/a、18.096t/a。</w:t>
            </w:r>
            <w:bookmarkEnd w:id="162"/>
            <w:bookmarkStart w:id="163" w:name="OLE_LINK118"/>
          </w:p>
          <w:bookmarkEnd w:id="163"/>
          <w:p w14:paraId="24795792">
            <w:pPr>
              <w:pStyle w:val="3"/>
              <w:ind w:firstLine="480"/>
            </w:pPr>
            <w:r>
              <w:rPr>
                <w:rFonts w:hint="eastAsia"/>
              </w:rPr>
              <w:t>本项目总量控制指标具体以环保审批部门的批复为准。</w:t>
            </w:r>
          </w:p>
        </w:tc>
      </w:tr>
    </w:tbl>
    <w:p w14:paraId="7025C34F">
      <w:pPr>
        <w:pStyle w:val="2"/>
        <w:rPr>
          <w:snapToGrid w:val="0"/>
        </w:rPr>
      </w:pPr>
      <w:bookmarkStart w:id="164" w:name="_Toc191861462"/>
      <w:r>
        <w:rPr>
          <w:rFonts w:hint="eastAsia"/>
          <w:snapToGrid w:val="0"/>
        </w:rPr>
        <w:t>主要环境影响和保护措施</w:t>
      </w:r>
      <w:bookmarkEnd w:id="146"/>
      <w:bookmarkEnd w:id="164"/>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
      <w:tblGrid>
        <w:gridCol w:w="699"/>
        <w:gridCol w:w="8126"/>
      </w:tblGrid>
      <w:tr w14:paraId="10BC31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749" w:hRule="atLeast"/>
          <w:jc w:val="center"/>
        </w:trPr>
        <w:tc>
          <w:tcPr>
            <w:tcW w:w="699" w:type="dxa"/>
            <w:tcMar>
              <w:left w:w="28" w:type="dxa"/>
              <w:right w:w="28" w:type="dxa"/>
            </w:tcMar>
            <w:vAlign w:val="center"/>
          </w:tcPr>
          <w:p w14:paraId="0BD7FB30">
            <w:pPr>
              <w:pStyle w:val="64"/>
            </w:pPr>
            <w:bookmarkStart w:id="165" w:name="_Toc175609275"/>
            <w:r>
              <w:rPr>
                <w:rFonts w:hint="eastAsia"/>
              </w:rPr>
              <w:t>施工期环境保护措施</w:t>
            </w:r>
            <w:bookmarkEnd w:id="165"/>
          </w:p>
        </w:tc>
        <w:tc>
          <w:tcPr>
            <w:tcW w:w="8126" w:type="dxa"/>
            <w:vAlign w:val="center"/>
          </w:tcPr>
          <w:p w14:paraId="7B2C63FA">
            <w:pPr>
              <w:pStyle w:val="7"/>
            </w:pPr>
            <w:bookmarkStart w:id="166" w:name="_Ref184685278"/>
            <w:r>
              <w:rPr>
                <w:rFonts w:hint="eastAsia"/>
              </w:rPr>
              <w:t>一、施工期废气污染防治措施</w:t>
            </w:r>
            <w:bookmarkEnd w:id="166"/>
          </w:p>
          <w:p w14:paraId="6F50A56B">
            <w:pPr>
              <w:pStyle w:val="3"/>
              <w:ind w:firstLine="480"/>
              <w:rPr>
                <w:color w:val="auto"/>
                <w:u w:val="single"/>
              </w:rPr>
            </w:pPr>
            <w:r>
              <w:rPr>
                <w:rFonts w:hint="eastAsia"/>
                <w:color w:val="auto"/>
                <w:u w:val="single"/>
              </w:rPr>
              <w:t>本项目废气主要为施工扬尘、装饰装修有机废气、机械燃料废气。</w:t>
            </w:r>
          </w:p>
          <w:p w14:paraId="0CCA6D40">
            <w:pPr>
              <w:pStyle w:val="3"/>
              <w:ind w:firstLine="480"/>
              <w:rPr>
                <w:color w:val="auto"/>
                <w:u w:val="single"/>
              </w:rPr>
            </w:pPr>
            <w:r>
              <w:rPr>
                <w:rFonts w:hint="eastAsia"/>
                <w:color w:val="auto"/>
                <w:u w:val="single"/>
              </w:rPr>
              <w:t>（1）施工扬尘</w:t>
            </w:r>
          </w:p>
          <w:p w14:paraId="5C7D3FED">
            <w:pPr>
              <w:pStyle w:val="3"/>
              <w:ind w:firstLine="480"/>
              <w:rPr>
                <w:color w:val="auto"/>
                <w:u w:val="single"/>
              </w:rPr>
            </w:pPr>
            <w:r>
              <w:rPr>
                <w:rFonts w:hint="eastAsia"/>
                <w:color w:val="auto"/>
                <w:u w:val="single"/>
              </w:rPr>
              <w:t>本项目通过外购商品混凝土、洒水降尘等措施降低施工扬尘的影响；通过对露天材料、临时堆场采取覆盖措施，减少堆料、表土堆土场扬尘的产生；通过做好地面清洁，对运输车辆及时清洗，以及运输时采用篷布遮盖，降低交通运输扬尘的影响。</w:t>
            </w:r>
          </w:p>
          <w:p w14:paraId="722AEB8F">
            <w:pPr>
              <w:pStyle w:val="3"/>
              <w:ind w:firstLine="480"/>
              <w:rPr>
                <w:color w:val="auto"/>
                <w:u w:val="single"/>
              </w:rPr>
            </w:pPr>
            <w:r>
              <w:rPr>
                <w:rFonts w:hint="eastAsia"/>
                <w:color w:val="auto"/>
                <w:u w:val="single"/>
              </w:rPr>
              <w:t>（2）装饰装修有机废气</w:t>
            </w:r>
          </w:p>
          <w:p w14:paraId="4E337071">
            <w:pPr>
              <w:pStyle w:val="3"/>
              <w:ind w:firstLine="480"/>
              <w:rPr>
                <w:color w:val="auto"/>
                <w:u w:val="single"/>
              </w:rPr>
            </w:pPr>
            <w:r>
              <w:rPr>
                <w:rFonts w:hint="eastAsia"/>
                <w:color w:val="auto"/>
                <w:u w:val="single"/>
              </w:rPr>
              <w:t>①装修期间使用绿色环保装修材料和水性涂料，尽量避免色彩鲜艳的涂料，关注涂料中铅的指标；</w:t>
            </w:r>
            <w:bookmarkStart w:id="167" w:name="施工期环境保护措施"/>
            <w:bookmarkEnd w:id="167"/>
          </w:p>
          <w:p w14:paraId="72A2859E">
            <w:pPr>
              <w:pStyle w:val="3"/>
              <w:ind w:firstLine="480"/>
              <w:rPr>
                <w:color w:val="auto"/>
                <w:u w:val="single"/>
              </w:rPr>
            </w:pPr>
            <w:r>
              <w:rPr>
                <w:rFonts w:hint="eastAsia"/>
                <w:color w:val="auto"/>
                <w:u w:val="single"/>
              </w:rPr>
              <w:t>②装修完成后及时清除建渣、装饰垃圾，清扫施工场地。</w:t>
            </w:r>
          </w:p>
          <w:p w14:paraId="36BCBCE2">
            <w:pPr>
              <w:pStyle w:val="3"/>
              <w:ind w:firstLine="480"/>
              <w:rPr>
                <w:color w:val="auto"/>
                <w:u w:val="single"/>
              </w:rPr>
            </w:pPr>
            <w:r>
              <w:rPr>
                <w:rFonts w:hint="eastAsia"/>
                <w:color w:val="auto"/>
                <w:u w:val="single"/>
              </w:rPr>
              <w:t>（3）机械燃料废气</w:t>
            </w:r>
          </w:p>
          <w:p w14:paraId="14ADB2AC">
            <w:pPr>
              <w:pStyle w:val="3"/>
              <w:ind w:firstLine="480"/>
              <w:rPr>
                <w:color w:val="auto"/>
                <w:u w:val="single"/>
              </w:rPr>
            </w:pPr>
            <w:r>
              <w:rPr>
                <w:rFonts w:hint="eastAsia"/>
                <w:color w:val="auto"/>
                <w:u w:val="single"/>
              </w:rPr>
              <w:t>①加强对施工机械管理，科学安排其运行时间，严格按照施工时间作业，不允许任意扩大施工路线；</w:t>
            </w:r>
          </w:p>
          <w:p w14:paraId="66AC2827">
            <w:pPr>
              <w:pStyle w:val="3"/>
              <w:ind w:firstLine="480"/>
              <w:rPr>
                <w:color w:val="auto"/>
                <w:u w:val="single"/>
              </w:rPr>
            </w:pPr>
            <w:r>
              <w:rPr>
                <w:rFonts w:hint="eastAsia"/>
                <w:color w:val="auto"/>
                <w:u w:val="single"/>
              </w:rPr>
              <w:t>②禁止使用“无标车”、“黄标车”运输建筑材料、弃土、建筑垃圾物料等措施。</w:t>
            </w:r>
          </w:p>
          <w:p w14:paraId="61F7D054">
            <w:pPr>
              <w:pStyle w:val="3"/>
              <w:ind w:firstLine="480"/>
              <w:rPr>
                <w:color w:val="auto"/>
                <w:u w:val="single"/>
              </w:rPr>
            </w:pPr>
            <w:r>
              <w:rPr>
                <w:rFonts w:hint="eastAsia"/>
                <w:color w:val="auto"/>
                <w:u w:val="single"/>
              </w:rPr>
              <w:t>在采取上述措施后，施工期产生的扬尘、施工机械车辆尾气及装修废气对周围环境的影响可以得到有效控制，且施工作业产生的粉尘和尾气污染也会随施工期的结束而消除。</w:t>
            </w:r>
          </w:p>
          <w:p w14:paraId="06F3595E">
            <w:pPr>
              <w:pStyle w:val="7"/>
            </w:pPr>
            <w:r>
              <w:rPr>
                <w:rFonts w:hint="eastAsia"/>
              </w:rPr>
              <w:t>二、施工期废水污染防治措施</w:t>
            </w:r>
          </w:p>
          <w:p w14:paraId="1A3CB6C7">
            <w:pPr>
              <w:pStyle w:val="3"/>
              <w:ind w:firstLine="480"/>
            </w:pPr>
            <w:r>
              <w:rPr>
                <w:rFonts w:hint="eastAsia"/>
              </w:rPr>
              <w:t>项目在地块设置活动板房作为生活区，施工人员按高峰期施工人数30人考虑，根据《建筑给水排水设计规范》 (GB50015-2003)，施工人员生活用水量按150L/人d计，施工期为8个月，生活用水量约为4.5m</w:t>
            </w:r>
            <w:r>
              <w:rPr>
                <w:rFonts w:hint="eastAsia"/>
                <w:vertAlign w:val="superscript"/>
              </w:rPr>
              <w:t>3</w:t>
            </w:r>
            <w:r>
              <w:rPr>
                <w:rFonts w:hint="eastAsia"/>
              </w:rPr>
              <w:t>/d，生活污水量按生活用水量的80%计，则生活污水量约3.6m</w:t>
            </w:r>
            <w:r>
              <w:rPr>
                <w:rFonts w:hint="eastAsia"/>
                <w:vertAlign w:val="superscript"/>
              </w:rPr>
              <w:t>3</w:t>
            </w:r>
            <w:r>
              <w:rPr>
                <w:rFonts w:hint="eastAsia"/>
              </w:rPr>
              <w:t>/d，总施工生活污水量约864m</w:t>
            </w:r>
            <w:r>
              <w:rPr>
                <w:rFonts w:hint="eastAsia"/>
                <w:vertAlign w:val="superscript"/>
              </w:rPr>
              <w:t>3</w:t>
            </w:r>
            <w:r>
              <w:rPr>
                <w:rFonts w:hint="eastAsia"/>
              </w:rPr>
              <w:t>。项目周边市政污水管网已建成，施工期生活污水依托周边厂房已建厕所和化粪池处理后排入市政污水管网，最后进入大榄坪污水处理厂处理，对水环境质量影响较小。</w:t>
            </w:r>
          </w:p>
          <w:p w14:paraId="15AEEDBD">
            <w:pPr>
              <w:pStyle w:val="7"/>
            </w:pPr>
            <w:r>
              <w:rPr>
                <w:rFonts w:hint="eastAsia"/>
              </w:rPr>
              <w:t>三、施工期噪声污染防治措施</w:t>
            </w:r>
          </w:p>
          <w:p w14:paraId="36AF0BA4">
            <w:pPr>
              <w:pStyle w:val="3"/>
              <w:ind w:firstLine="480"/>
            </w:pPr>
            <w:r>
              <w:rPr>
                <w:rFonts w:hint="eastAsia"/>
              </w:rPr>
              <w:t>施工期噪声污染源由施工机械设备作业、施工车辆行驶等过程产生。项目施工噪声对周围环境的影响虽然是暂时的，随着施工期的结束而自动消除。建设单位拟采取以下污染防治措施：</w:t>
            </w:r>
          </w:p>
          <w:p w14:paraId="6302529B">
            <w:pPr>
              <w:pStyle w:val="3"/>
              <w:ind w:firstLine="480"/>
            </w:pPr>
            <w:r>
              <w:rPr>
                <w:rFonts w:hint="eastAsia"/>
              </w:rPr>
              <w:t>（1）施工单位严格执行《建筑施工场界环境噪声排放标准》（GB12523-2011）中的规定，合理安排施工计划，禁止高噪声设备在夜间（22:00～06:00）作业。</w:t>
            </w:r>
          </w:p>
          <w:p w14:paraId="753CD58F">
            <w:pPr>
              <w:pStyle w:val="3"/>
              <w:ind w:firstLine="480"/>
            </w:pPr>
            <w:r>
              <w:rPr>
                <w:rFonts w:hint="eastAsia"/>
              </w:rPr>
              <w:t>（2）加强声源的噪声控制，尽可能选用噪声较小的施工设备，同时经常保养设备，使设备维持在最低声级状态下工作。</w:t>
            </w:r>
          </w:p>
          <w:p w14:paraId="70BC81A4">
            <w:pPr>
              <w:pStyle w:val="3"/>
              <w:ind w:firstLine="480"/>
            </w:pPr>
            <w:r>
              <w:rPr>
                <w:rFonts w:hint="eastAsia"/>
              </w:rPr>
              <w:t>（3）动力机械设备都应适时维修，特别对因松动部件的震动或降低噪声部件的损坏而产生很强噪声的设备，更应经常检查维护。</w:t>
            </w:r>
          </w:p>
          <w:p w14:paraId="450F4FF5">
            <w:pPr>
              <w:pStyle w:val="3"/>
              <w:ind w:firstLine="480"/>
            </w:pPr>
            <w:r>
              <w:rPr>
                <w:rFonts w:hint="eastAsia"/>
              </w:rPr>
              <w:t>（4）注意做好接触高噪声人员的劳动保护，采取轮岗、缩短接触高噪声时间、</w:t>
            </w:r>
            <w:r>
              <w:rPr>
                <w:rFonts w:hint="eastAsia"/>
                <w:lang w:eastAsia="zh-CN"/>
              </w:rPr>
              <w:t>佩戴</w:t>
            </w:r>
            <w:r>
              <w:rPr>
                <w:rFonts w:hint="eastAsia"/>
              </w:rPr>
              <w:t>防声耳塞、耳罩等措施减轻噪声的影响程度。</w:t>
            </w:r>
          </w:p>
          <w:p w14:paraId="0B1A4D54">
            <w:pPr>
              <w:pStyle w:val="7"/>
            </w:pPr>
            <w:r>
              <w:rPr>
                <w:rFonts w:hint="eastAsia"/>
              </w:rPr>
              <w:t>四、固体废物环保措施</w:t>
            </w:r>
          </w:p>
          <w:p w14:paraId="4CBFF907">
            <w:pPr>
              <w:pStyle w:val="3"/>
              <w:ind w:firstLine="480"/>
            </w:pPr>
            <w:r>
              <w:rPr>
                <w:rFonts w:hint="eastAsia"/>
              </w:rPr>
              <w:t>项目施工期间产生的固体废物主要有：</w:t>
            </w:r>
            <w:r>
              <w:rPr>
                <w:rFonts w:hint="eastAsia"/>
                <w:color w:val="auto"/>
                <w:u w:val="single"/>
              </w:rPr>
              <w:t>施工建筑垃圾、</w:t>
            </w:r>
            <w:r>
              <w:rPr>
                <w:rFonts w:hint="eastAsia"/>
              </w:rPr>
              <w:t>设备安装产生的包装材料以及施工人员产生的生活垃圾。</w:t>
            </w:r>
          </w:p>
          <w:p w14:paraId="36561F73">
            <w:pPr>
              <w:pStyle w:val="3"/>
              <w:ind w:firstLine="480"/>
              <w:rPr>
                <w:color w:val="auto"/>
                <w:u w:val="single"/>
              </w:rPr>
            </w:pPr>
            <w:r>
              <w:rPr>
                <w:rFonts w:hint="eastAsia"/>
                <w:color w:val="auto"/>
                <w:u w:val="single"/>
              </w:rPr>
              <w:t>（1）施工建筑垃圾</w:t>
            </w:r>
          </w:p>
          <w:p w14:paraId="690A0B93">
            <w:pPr>
              <w:pStyle w:val="3"/>
              <w:ind w:firstLine="480"/>
              <w:rPr>
                <w:color w:val="auto"/>
                <w:u w:val="single"/>
              </w:rPr>
            </w:pPr>
            <w:r>
              <w:rPr>
                <w:rFonts w:hint="eastAsia"/>
                <w:color w:val="auto"/>
                <w:u w:val="single"/>
              </w:rPr>
              <w:t>施工产生的建筑垃圾应进行分拣，对废木材、金属、玻璃、塑料等可以回收利用的部分应积极进行综合利用，对不能利用的建筑垃圾和生活垃圾可委托市政部门进行处理，严禁随意运输，随意倾倒。</w:t>
            </w:r>
          </w:p>
          <w:p w14:paraId="44CAA7CB">
            <w:pPr>
              <w:pStyle w:val="3"/>
              <w:ind w:firstLine="480"/>
            </w:pPr>
            <w:r>
              <w:rPr>
                <w:rFonts w:hint="eastAsia"/>
              </w:rPr>
              <w:t>（2）包装材料</w:t>
            </w:r>
          </w:p>
          <w:p w14:paraId="1172B336">
            <w:pPr>
              <w:pStyle w:val="3"/>
              <w:ind w:firstLine="480"/>
            </w:pPr>
            <w:r>
              <w:rPr>
                <w:rFonts w:hint="eastAsia"/>
              </w:rPr>
              <w:t>本项目主要进行设备的安装以及调试，产生的垃圾为设备包装材料等，包装材料外售给物资回收部门回收利用。</w:t>
            </w:r>
          </w:p>
          <w:p w14:paraId="5C138241">
            <w:pPr>
              <w:pStyle w:val="3"/>
              <w:ind w:firstLine="480"/>
            </w:pPr>
            <w:r>
              <w:rPr>
                <w:rFonts w:hint="eastAsia"/>
              </w:rPr>
              <w:t>（3）生活垃圾</w:t>
            </w:r>
          </w:p>
          <w:p w14:paraId="6CFF1457">
            <w:pPr>
              <w:pStyle w:val="3"/>
              <w:ind w:firstLine="480"/>
            </w:pPr>
            <w:r>
              <w:rPr>
                <w:rFonts w:hint="eastAsia"/>
              </w:rPr>
              <w:t>施工人员产生的生活垃圾由环卫部门统一清运，不可就地填埋，以避免影响项目周边环境。</w:t>
            </w:r>
          </w:p>
        </w:tc>
      </w:tr>
    </w:tbl>
    <w:p w14:paraId="00E6036C">
      <w:pPr>
        <w:sectPr>
          <w:pgSz w:w="11907" w:h="16840"/>
          <w:pgMar w:top="1701" w:right="1531" w:bottom="2127" w:left="1531" w:header="851" w:footer="851" w:gutter="0"/>
          <w:cols w:space="720" w:num="1"/>
          <w:docGrid w:linePitch="312" w:charSpace="0"/>
        </w:sectPr>
      </w:pP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12576"/>
      </w:tblGrid>
      <w:tr w14:paraId="12B0E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7" w:type="dxa"/>
            <w:vAlign w:val="center"/>
          </w:tcPr>
          <w:p w14:paraId="2FE5DA4B">
            <w:pPr>
              <w:snapToGrid w:val="0"/>
              <w:rPr>
                <w:rFonts w:cs="宋体"/>
                <w:bCs/>
                <w:sz w:val="24"/>
              </w:rPr>
            </w:pPr>
            <w:r>
              <w:rPr>
                <w:rFonts w:hint="eastAsia" w:cs="宋体"/>
                <w:bCs/>
                <w:sz w:val="24"/>
              </w:rPr>
              <w:t>运营期环境影响和保护措施</w:t>
            </w:r>
          </w:p>
        </w:tc>
        <w:tc>
          <w:tcPr>
            <w:tcW w:w="12555" w:type="dxa"/>
            <w:vAlign w:val="center"/>
          </w:tcPr>
          <w:p w14:paraId="1FF43575">
            <w:pPr>
              <w:pStyle w:val="3"/>
              <w:ind w:firstLine="482"/>
              <w:rPr>
                <w:b/>
                <w:bCs/>
              </w:rPr>
            </w:pPr>
            <w:r>
              <w:rPr>
                <w:rFonts w:hint="eastAsia"/>
                <w:b/>
                <w:bCs/>
              </w:rPr>
              <w:t>一、废气</w:t>
            </w:r>
          </w:p>
          <w:p w14:paraId="0D69FE18">
            <w:pPr>
              <w:pStyle w:val="3"/>
              <w:ind w:firstLine="482"/>
              <w:rPr>
                <w:b/>
                <w:bCs/>
              </w:rPr>
            </w:pPr>
            <w:r>
              <w:rPr>
                <w:rFonts w:hint="eastAsia"/>
                <w:b/>
                <w:bCs/>
              </w:rPr>
              <w:t>1、废气污染物产排情况</w:t>
            </w:r>
          </w:p>
          <w:p w14:paraId="0E84895C">
            <w:pPr>
              <w:pStyle w:val="49"/>
            </w:pPr>
            <w:bookmarkStart w:id="168" w:name="_Ref175518954"/>
            <w:bookmarkStart w:id="169" w:name="_Ref176880438"/>
            <w:r>
              <w:rPr>
                <w:rFonts w:hint="eastAsia"/>
              </w:rPr>
              <w:t xml:space="preserve">表4- </w:t>
            </w:r>
            <w:r>
              <w:t>1</w:t>
            </w:r>
            <w:bookmarkEnd w:id="168"/>
            <w:r>
              <w:rPr>
                <w:rFonts w:hint="eastAsia"/>
              </w:rPr>
              <w:t>：废气产生治理排放情况一览表</w:t>
            </w:r>
            <w:bookmarkEnd w:id="169"/>
          </w:p>
          <w:tbl>
            <w:tblPr>
              <w:tblStyle w:val="50"/>
              <w:tblW w:w="1236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1006"/>
              <w:gridCol w:w="830"/>
              <w:gridCol w:w="1396"/>
              <w:gridCol w:w="839"/>
              <w:gridCol w:w="692"/>
              <w:gridCol w:w="703"/>
              <w:gridCol w:w="1446"/>
              <w:gridCol w:w="829"/>
              <w:gridCol w:w="1387"/>
              <w:gridCol w:w="1223"/>
              <w:gridCol w:w="723"/>
              <w:gridCol w:w="723"/>
              <w:gridCol w:w="563"/>
            </w:tblGrid>
            <w:tr w14:paraId="2AD17D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18" w:hRule="exact"/>
                <w:jc w:val="center"/>
              </w:trPr>
              <w:tc>
                <w:tcPr>
                  <w:tcW w:w="1006" w:type="dxa"/>
                  <w:vMerge w:val="restart"/>
                  <w:tcBorders>
                    <w:top w:val="single" w:color="auto" w:sz="12" w:space="0"/>
                    <w:left w:val="nil"/>
                    <w:bottom w:val="single" w:color="auto" w:sz="12" w:space="0"/>
                    <w:right w:val="single" w:color="auto" w:sz="4" w:space="0"/>
                    <w:insideH w:val="single" w:sz="12" w:space="0"/>
                    <w:insideV w:val="single" w:sz="4" w:space="0"/>
                    <w:tl2br w:val="nil"/>
                    <w:tr2bl w:val="nil"/>
                  </w:tcBorders>
                  <w:vAlign w:val="center"/>
                </w:tcPr>
                <w:p w14:paraId="4985FCE4">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z w:val="18"/>
                      <w:szCs w:val="18"/>
                      <w14:ligatures w14:val="standardContextual"/>
                    </w:rPr>
                  </w:pPr>
                  <w:r>
                    <w:rPr>
                      <w:rFonts w:hint="default" w:ascii="Times New Roman" w:hAnsi="Times New Roman" w:eastAsia="宋体" w:cs="Times New Roman"/>
                      <w:b/>
                      <w:i w:val="0"/>
                      <w:sz w:val="18"/>
                      <w:szCs w:val="18"/>
                      <w14:ligatures w14:val="standardContextual"/>
                    </w:rPr>
                    <w:t>产污环节</w:t>
                  </w:r>
                </w:p>
              </w:tc>
              <w:tc>
                <w:tcPr>
                  <w:tcW w:w="830" w:type="dxa"/>
                  <w:vMerge w:val="restar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344393AA">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z w:val="18"/>
                      <w:szCs w:val="18"/>
                      <w14:ligatures w14:val="standardContextual"/>
                    </w:rPr>
                  </w:pPr>
                  <w:r>
                    <w:rPr>
                      <w:rFonts w:hint="default" w:ascii="Times New Roman" w:hAnsi="Times New Roman" w:eastAsia="宋体" w:cs="Times New Roman"/>
                      <w:b/>
                      <w:i w:val="0"/>
                      <w:sz w:val="18"/>
                      <w:szCs w:val="18"/>
                      <w14:ligatures w14:val="standardContextual"/>
                    </w:rPr>
                    <w:t>污染物</w:t>
                  </w:r>
                </w:p>
                <w:p w14:paraId="1F84BC9F">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z w:val="18"/>
                      <w:szCs w:val="18"/>
                      <w14:ligatures w14:val="standardContextual"/>
                    </w:rPr>
                  </w:pPr>
                  <w:r>
                    <w:rPr>
                      <w:rFonts w:hint="default" w:ascii="Times New Roman" w:hAnsi="Times New Roman" w:eastAsia="宋体" w:cs="Times New Roman"/>
                      <w:b/>
                      <w:i w:val="0"/>
                      <w:sz w:val="18"/>
                      <w:szCs w:val="18"/>
                      <w14:ligatures w14:val="standardContextual"/>
                    </w:rPr>
                    <w:t>种</w:t>
                  </w:r>
                </w:p>
              </w:tc>
              <w:tc>
                <w:tcPr>
                  <w:tcW w:w="2235" w:type="dxa"/>
                  <w:gridSpan w:val="2"/>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4244EDC3">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z w:val="18"/>
                      <w:szCs w:val="18"/>
                      <w14:ligatures w14:val="standardContextual"/>
                    </w:rPr>
                  </w:pPr>
                  <w:r>
                    <w:rPr>
                      <w:rFonts w:hint="default" w:ascii="Times New Roman" w:hAnsi="Times New Roman" w:eastAsia="宋体" w:cs="Times New Roman"/>
                      <w:b/>
                      <w:i w:val="0"/>
                      <w:sz w:val="18"/>
                      <w:szCs w:val="18"/>
                      <w14:ligatures w14:val="standardContextual"/>
                    </w:rPr>
                    <w:t>产生情况</w:t>
                  </w:r>
                </w:p>
              </w:tc>
              <w:tc>
                <w:tcPr>
                  <w:tcW w:w="692" w:type="dxa"/>
                  <w:vMerge w:val="restar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69622F0C">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z w:val="18"/>
                      <w:szCs w:val="18"/>
                      <w14:ligatures w14:val="standardContextual"/>
                    </w:rPr>
                  </w:pPr>
                  <w:r>
                    <w:rPr>
                      <w:rFonts w:hint="default" w:ascii="Times New Roman" w:hAnsi="Times New Roman" w:eastAsia="宋体" w:cs="Times New Roman"/>
                      <w:b/>
                      <w:i w:val="0"/>
                      <w:sz w:val="18"/>
                      <w:szCs w:val="18"/>
                      <w14:ligatures w14:val="standardContextual"/>
                    </w:rPr>
                    <w:t>排放</w:t>
                  </w:r>
                </w:p>
                <w:p w14:paraId="76B3DE0F">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z w:val="18"/>
                      <w:szCs w:val="18"/>
                      <w14:ligatures w14:val="standardContextual"/>
                    </w:rPr>
                  </w:pPr>
                  <w:r>
                    <w:rPr>
                      <w:rFonts w:hint="default" w:ascii="Times New Roman" w:hAnsi="Times New Roman" w:eastAsia="宋体" w:cs="Times New Roman"/>
                      <w:b/>
                      <w:i w:val="0"/>
                      <w:sz w:val="18"/>
                      <w:szCs w:val="18"/>
                      <w14:ligatures w14:val="standardContextual"/>
                    </w:rPr>
                    <w:t>形式</w:t>
                  </w:r>
                </w:p>
              </w:tc>
              <w:tc>
                <w:tcPr>
                  <w:tcW w:w="4365" w:type="dxa"/>
                  <w:gridSpan w:val="4"/>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6D5AEB92">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z w:val="18"/>
                      <w:szCs w:val="18"/>
                      <w14:ligatures w14:val="standardContextual"/>
                    </w:rPr>
                  </w:pPr>
                  <w:r>
                    <w:rPr>
                      <w:rFonts w:hint="default" w:ascii="Times New Roman" w:hAnsi="Times New Roman" w:eastAsia="宋体" w:cs="Times New Roman"/>
                      <w:b/>
                      <w:i w:val="0"/>
                      <w:sz w:val="18"/>
                      <w:szCs w:val="18"/>
                      <w14:ligatures w14:val="standardContextual"/>
                    </w:rPr>
                    <w:t>污染治理设施</w:t>
                  </w:r>
                </w:p>
              </w:tc>
              <w:tc>
                <w:tcPr>
                  <w:tcW w:w="1946" w:type="dxa"/>
                  <w:gridSpan w:val="2"/>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540C1F46">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z w:val="18"/>
                      <w:szCs w:val="18"/>
                      <w14:ligatures w14:val="standardContextual"/>
                    </w:rPr>
                  </w:pPr>
                  <w:r>
                    <w:rPr>
                      <w:rFonts w:hint="default" w:ascii="Times New Roman" w:hAnsi="Times New Roman" w:eastAsia="宋体" w:cs="Times New Roman"/>
                      <w:b/>
                      <w:i w:val="0"/>
                      <w:sz w:val="18"/>
                      <w:szCs w:val="18"/>
                      <w14:ligatures w14:val="standardContextual"/>
                    </w:rPr>
                    <w:t>排放情况</w:t>
                  </w:r>
                </w:p>
              </w:tc>
              <w:tc>
                <w:tcPr>
                  <w:tcW w:w="1286" w:type="dxa"/>
                  <w:gridSpan w:val="2"/>
                  <w:tcBorders>
                    <w:top w:val="single" w:color="auto" w:sz="12" w:space="0"/>
                    <w:bottom w:val="single" w:color="auto" w:sz="12" w:space="0"/>
                    <w:right w:val="nil"/>
                    <w:insideH w:val="single" w:sz="12" w:space="0"/>
                    <w:insideV w:val="single" w:sz="4" w:space="0"/>
                    <w:tl2br w:val="nil"/>
                    <w:tr2bl w:val="nil"/>
                  </w:tcBorders>
                  <w:vAlign w:val="center"/>
                </w:tcPr>
                <w:p w14:paraId="7A1FA387">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z w:val="18"/>
                      <w:szCs w:val="18"/>
                      <w14:ligatures w14:val="standardContextual"/>
                    </w:rPr>
                  </w:pPr>
                  <w:r>
                    <w:rPr>
                      <w:rFonts w:hint="default" w:ascii="Times New Roman" w:hAnsi="Times New Roman" w:eastAsia="宋体" w:cs="Times New Roman"/>
                      <w:b/>
                      <w:i w:val="0"/>
                      <w:sz w:val="18"/>
                      <w:szCs w:val="18"/>
                      <w14:ligatures w14:val="standardContextual"/>
                    </w:rPr>
                    <w:t>排放标准</w:t>
                  </w:r>
                </w:p>
              </w:tc>
            </w:tr>
            <w:tr w14:paraId="457E4B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26" w:hRule="atLeast"/>
                <w:jc w:val="center"/>
              </w:trPr>
              <w:tc>
                <w:tcPr>
                  <w:tcW w:w="1006" w:type="dxa"/>
                  <w:vMerge w:val="continue"/>
                  <w:vAlign w:val="center"/>
                </w:tcPr>
                <w:p w14:paraId="41CD98FA">
                  <w:pPr>
                    <w:widowControl w:val="0"/>
                    <w:overflowPunct w:val="0"/>
                    <w:autoSpaceDE w:val="0"/>
                    <w:autoSpaceDN w:val="0"/>
                    <w:snapToGrid w:val="0"/>
                    <w:jc w:val="center"/>
                    <w:rPr>
                      <w:sz w:val="18"/>
                      <w:szCs w:val="18"/>
                      <w14:ligatures w14:val="standardContextual"/>
                    </w:rPr>
                  </w:pPr>
                </w:p>
              </w:tc>
              <w:tc>
                <w:tcPr>
                  <w:tcW w:w="830" w:type="dxa"/>
                  <w:vMerge w:val="continue"/>
                  <w:vAlign w:val="center"/>
                </w:tcPr>
                <w:p w14:paraId="07728298">
                  <w:pPr>
                    <w:widowControl w:val="0"/>
                    <w:overflowPunct w:val="0"/>
                    <w:autoSpaceDE w:val="0"/>
                    <w:autoSpaceDN w:val="0"/>
                    <w:snapToGrid w:val="0"/>
                    <w:jc w:val="center"/>
                    <w:rPr>
                      <w:sz w:val="18"/>
                      <w:szCs w:val="18"/>
                      <w14:ligatures w14:val="standardContextual"/>
                    </w:rPr>
                  </w:pPr>
                </w:p>
              </w:tc>
              <w:tc>
                <w:tcPr>
                  <w:tcW w:w="1396" w:type="dxa"/>
                  <w:vAlign w:val="center"/>
                </w:tcPr>
                <w:p w14:paraId="4F08B78B">
                  <w:pPr>
                    <w:widowControl w:val="0"/>
                    <w:overflowPunct w:val="0"/>
                    <w:autoSpaceDE w:val="0"/>
                    <w:autoSpaceDN w:val="0"/>
                    <w:snapToGrid w:val="0"/>
                    <w:jc w:val="center"/>
                    <w:rPr>
                      <w:sz w:val="18"/>
                      <w:szCs w:val="18"/>
                      <w14:ligatures w14:val="standardContextual"/>
                    </w:rPr>
                  </w:pPr>
                  <w:r>
                    <w:rPr>
                      <w:sz w:val="18"/>
                      <w:szCs w:val="18"/>
                      <w14:ligatures w14:val="standardContextual"/>
                    </w:rPr>
                    <w:t>产生量t/a</w:t>
                  </w:r>
                </w:p>
                <w:p w14:paraId="1C761D6D">
                  <w:pPr>
                    <w:widowControl w:val="0"/>
                    <w:overflowPunct w:val="0"/>
                    <w:autoSpaceDE w:val="0"/>
                    <w:autoSpaceDN w:val="0"/>
                    <w:snapToGrid w:val="0"/>
                    <w:jc w:val="center"/>
                    <w:rPr>
                      <w:sz w:val="18"/>
                      <w:szCs w:val="18"/>
                      <w14:ligatures w14:val="standardContextual"/>
                    </w:rPr>
                  </w:pPr>
                  <w:r>
                    <w:rPr>
                      <w:sz w:val="18"/>
                      <w:szCs w:val="18"/>
                      <w14:ligatures w14:val="standardContextual"/>
                    </w:rPr>
                    <w:t>速率kg/h</w:t>
                  </w:r>
                </w:p>
              </w:tc>
              <w:tc>
                <w:tcPr>
                  <w:tcW w:w="839" w:type="dxa"/>
                  <w:vAlign w:val="center"/>
                </w:tcPr>
                <w:p w14:paraId="7A538E79">
                  <w:pPr>
                    <w:widowControl w:val="0"/>
                    <w:overflowPunct w:val="0"/>
                    <w:autoSpaceDE w:val="0"/>
                    <w:autoSpaceDN w:val="0"/>
                    <w:snapToGrid w:val="0"/>
                    <w:jc w:val="center"/>
                    <w:rPr>
                      <w:sz w:val="18"/>
                      <w:szCs w:val="18"/>
                      <w14:ligatures w14:val="standardContextual"/>
                    </w:rPr>
                  </w:pPr>
                  <w:r>
                    <w:rPr>
                      <w:sz w:val="18"/>
                      <w:szCs w:val="18"/>
                      <w14:ligatures w14:val="standardContextual"/>
                    </w:rPr>
                    <w:t>产生</w:t>
                  </w:r>
                </w:p>
                <w:p w14:paraId="728DBAC7">
                  <w:pPr>
                    <w:widowControl w:val="0"/>
                    <w:overflowPunct w:val="0"/>
                    <w:autoSpaceDE w:val="0"/>
                    <w:autoSpaceDN w:val="0"/>
                    <w:snapToGrid w:val="0"/>
                    <w:jc w:val="center"/>
                    <w:rPr>
                      <w:sz w:val="18"/>
                      <w:szCs w:val="18"/>
                      <w14:ligatures w14:val="standardContextual"/>
                    </w:rPr>
                  </w:pPr>
                  <w:r>
                    <w:rPr>
                      <w:sz w:val="18"/>
                      <w:szCs w:val="18"/>
                      <w14:ligatures w14:val="standardContextual"/>
                    </w:rPr>
                    <w:t>浓度mg/m</w:t>
                  </w:r>
                  <w:r>
                    <w:rPr>
                      <w:sz w:val="18"/>
                      <w:szCs w:val="18"/>
                      <w:vertAlign w:val="superscript"/>
                      <w14:ligatures w14:val="standardContextual"/>
                    </w:rPr>
                    <w:t>3</w:t>
                  </w:r>
                </w:p>
              </w:tc>
              <w:tc>
                <w:tcPr>
                  <w:tcW w:w="692" w:type="dxa"/>
                  <w:vMerge w:val="continue"/>
                  <w:vAlign w:val="center"/>
                </w:tcPr>
                <w:p w14:paraId="42436A31">
                  <w:pPr>
                    <w:widowControl w:val="0"/>
                    <w:overflowPunct w:val="0"/>
                    <w:autoSpaceDE w:val="0"/>
                    <w:autoSpaceDN w:val="0"/>
                    <w:snapToGrid w:val="0"/>
                    <w:jc w:val="center"/>
                    <w:rPr>
                      <w:sz w:val="18"/>
                      <w:szCs w:val="18"/>
                      <w14:ligatures w14:val="standardContextual"/>
                    </w:rPr>
                  </w:pPr>
                </w:p>
              </w:tc>
              <w:tc>
                <w:tcPr>
                  <w:tcW w:w="703" w:type="dxa"/>
                  <w:vAlign w:val="center"/>
                </w:tcPr>
                <w:p w14:paraId="2F4DA40E">
                  <w:pPr>
                    <w:widowControl w:val="0"/>
                    <w:overflowPunct w:val="0"/>
                    <w:autoSpaceDE w:val="0"/>
                    <w:autoSpaceDN w:val="0"/>
                    <w:snapToGrid w:val="0"/>
                    <w:jc w:val="center"/>
                    <w:rPr>
                      <w:sz w:val="18"/>
                      <w:szCs w:val="18"/>
                      <w14:ligatures w14:val="standardContextual"/>
                    </w:rPr>
                  </w:pPr>
                  <w:r>
                    <w:rPr>
                      <w:rFonts w:hint="eastAsia"/>
                      <w:sz w:val="18"/>
                      <w:szCs w:val="18"/>
                      <w14:ligatures w14:val="standardContextual"/>
                    </w:rPr>
                    <w:t>废气量</w:t>
                  </w:r>
                  <w:r>
                    <w:rPr>
                      <w:sz w:val="18"/>
                      <w:szCs w:val="18"/>
                      <w14:ligatures w14:val="standardContextual"/>
                    </w:rPr>
                    <w:t>m</w:t>
                  </w:r>
                  <w:r>
                    <w:rPr>
                      <w:sz w:val="18"/>
                      <w:szCs w:val="18"/>
                      <w:vertAlign w:val="superscript"/>
                      <w14:ligatures w14:val="standardContextual"/>
                    </w:rPr>
                    <w:t>3</w:t>
                  </w:r>
                  <w:r>
                    <w:rPr>
                      <w:sz w:val="18"/>
                      <w:szCs w:val="18"/>
                      <w14:ligatures w14:val="standardContextual"/>
                    </w:rPr>
                    <w:t>/h</w:t>
                  </w:r>
                </w:p>
              </w:tc>
              <w:tc>
                <w:tcPr>
                  <w:tcW w:w="1446" w:type="dxa"/>
                  <w:vAlign w:val="center"/>
                </w:tcPr>
                <w:p w14:paraId="799CA361">
                  <w:pPr>
                    <w:widowControl w:val="0"/>
                    <w:overflowPunct w:val="0"/>
                    <w:autoSpaceDE w:val="0"/>
                    <w:autoSpaceDN w:val="0"/>
                    <w:snapToGrid w:val="0"/>
                    <w:jc w:val="center"/>
                    <w:rPr>
                      <w:sz w:val="18"/>
                      <w:szCs w:val="18"/>
                      <w14:ligatures w14:val="standardContextual"/>
                    </w:rPr>
                  </w:pPr>
                  <w:r>
                    <w:rPr>
                      <w:sz w:val="18"/>
                      <w:szCs w:val="18"/>
                      <w14:ligatures w14:val="standardContextual"/>
                    </w:rPr>
                    <w:t>去除效率</w:t>
                  </w:r>
                </w:p>
              </w:tc>
              <w:tc>
                <w:tcPr>
                  <w:tcW w:w="829" w:type="dxa"/>
                  <w:vAlign w:val="center"/>
                </w:tcPr>
                <w:p w14:paraId="0934B3A2">
                  <w:pPr>
                    <w:widowControl w:val="0"/>
                    <w:overflowPunct w:val="0"/>
                    <w:autoSpaceDE w:val="0"/>
                    <w:autoSpaceDN w:val="0"/>
                    <w:snapToGrid w:val="0"/>
                    <w:jc w:val="center"/>
                    <w:rPr>
                      <w:sz w:val="18"/>
                      <w:szCs w:val="18"/>
                      <w14:ligatures w14:val="standardContextual"/>
                    </w:rPr>
                  </w:pPr>
                  <w:r>
                    <w:rPr>
                      <w:sz w:val="18"/>
                      <w:szCs w:val="18"/>
                      <w14:ligatures w14:val="standardContextual"/>
                    </w:rPr>
                    <w:t>是否可行技术</w:t>
                  </w:r>
                </w:p>
              </w:tc>
              <w:tc>
                <w:tcPr>
                  <w:tcW w:w="1387" w:type="dxa"/>
                  <w:vAlign w:val="center"/>
                </w:tcPr>
                <w:p w14:paraId="45DBF6D6">
                  <w:pPr>
                    <w:widowControl w:val="0"/>
                    <w:overflowPunct w:val="0"/>
                    <w:autoSpaceDE w:val="0"/>
                    <w:autoSpaceDN w:val="0"/>
                    <w:snapToGrid w:val="0"/>
                    <w:jc w:val="center"/>
                    <w:rPr>
                      <w:sz w:val="18"/>
                      <w:szCs w:val="18"/>
                      <w14:ligatures w14:val="standardContextual"/>
                    </w:rPr>
                  </w:pPr>
                  <w:r>
                    <w:rPr>
                      <w:sz w:val="18"/>
                      <w:szCs w:val="18"/>
                      <w14:ligatures w14:val="standardContextual"/>
                    </w:rPr>
                    <w:t>处理</w:t>
                  </w:r>
                </w:p>
                <w:p w14:paraId="2299574C">
                  <w:pPr>
                    <w:widowControl w:val="0"/>
                    <w:overflowPunct w:val="0"/>
                    <w:autoSpaceDE w:val="0"/>
                    <w:autoSpaceDN w:val="0"/>
                    <w:snapToGrid w:val="0"/>
                    <w:jc w:val="center"/>
                    <w:rPr>
                      <w:sz w:val="18"/>
                      <w:szCs w:val="18"/>
                      <w14:ligatures w14:val="standardContextual"/>
                    </w:rPr>
                  </w:pPr>
                  <w:r>
                    <w:rPr>
                      <w:sz w:val="18"/>
                      <w:szCs w:val="18"/>
                      <w14:ligatures w14:val="standardContextual"/>
                    </w:rPr>
                    <w:t>工艺</w:t>
                  </w:r>
                </w:p>
              </w:tc>
              <w:tc>
                <w:tcPr>
                  <w:tcW w:w="1223" w:type="dxa"/>
                  <w:vAlign w:val="center"/>
                </w:tcPr>
                <w:p w14:paraId="6FB6B322">
                  <w:pPr>
                    <w:widowControl w:val="0"/>
                    <w:overflowPunct w:val="0"/>
                    <w:autoSpaceDE w:val="0"/>
                    <w:autoSpaceDN w:val="0"/>
                    <w:snapToGrid w:val="0"/>
                    <w:jc w:val="center"/>
                    <w:rPr>
                      <w:sz w:val="18"/>
                      <w:szCs w:val="18"/>
                      <w14:ligatures w14:val="standardContextual"/>
                    </w:rPr>
                  </w:pPr>
                  <w:r>
                    <w:rPr>
                      <w:sz w:val="18"/>
                      <w:szCs w:val="18"/>
                      <w14:ligatures w14:val="standardContextual"/>
                    </w:rPr>
                    <w:t>排放量t/a</w:t>
                  </w:r>
                </w:p>
                <w:p w14:paraId="4F0305DA">
                  <w:pPr>
                    <w:widowControl w:val="0"/>
                    <w:overflowPunct w:val="0"/>
                    <w:autoSpaceDE w:val="0"/>
                    <w:autoSpaceDN w:val="0"/>
                    <w:snapToGrid w:val="0"/>
                    <w:jc w:val="center"/>
                    <w:rPr>
                      <w:sz w:val="18"/>
                      <w:szCs w:val="18"/>
                      <w14:ligatures w14:val="standardContextual"/>
                    </w:rPr>
                  </w:pPr>
                  <w:r>
                    <w:rPr>
                      <w:sz w:val="18"/>
                      <w:szCs w:val="18"/>
                      <w14:ligatures w14:val="standardContextual"/>
                    </w:rPr>
                    <w:t>(速率kg/h)</w:t>
                  </w:r>
                </w:p>
              </w:tc>
              <w:tc>
                <w:tcPr>
                  <w:tcW w:w="723" w:type="dxa"/>
                  <w:vAlign w:val="center"/>
                </w:tcPr>
                <w:p w14:paraId="4204689E">
                  <w:pPr>
                    <w:widowControl w:val="0"/>
                    <w:overflowPunct w:val="0"/>
                    <w:autoSpaceDE w:val="0"/>
                    <w:autoSpaceDN w:val="0"/>
                    <w:snapToGrid w:val="0"/>
                    <w:jc w:val="center"/>
                    <w:rPr>
                      <w:sz w:val="18"/>
                      <w:szCs w:val="18"/>
                      <w14:ligatures w14:val="standardContextual"/>
                    </w:rPr>
                  </w:pPr>
                  <w:r>
                    <w:rPr>
                      <w:sz w:val="18"/>
                      <w:szCs w:val="18"/>
                      <w14:ligatures w14:val="standardContextual"/>
                    </w:rPr>
                    <w:t>排放</w:t>
                  </w:r>
                </w:p>
                <w:p w14:paraId="3E2E48DE">
                  <w:pPr>
                    <w:widowControl w:val="0"/>
                    <w:overflowPunct w:val="0"/>
                    <w:autoSpaceDE w:val="0"/>
                    <w:autoSpaceDN w:val="0"/>
                    <w:snapToGrid w:val="0"/>
                    <w:jc w:val="center"/>
                    <w:rPr>
                      <w:sz w:val="18"/>
                      <w:szCs w:val="18"/>
                      <w14:ligatures w14:val="standardContextual"/>
                    </w:rPr>
                  </w:pPr>
                  <w:r>
                    <w:rPr>
                      <w:sz w:val="18"/>
                      <w:szCs w:val="18"/>
                      <w14:ligatures w14:val="standardContextual"/>
                    </w:rPr>
                    <w:t>浓度mg/m</w:t>
                  </w:r>
                  <w:r>
                    <w:rPr>
                      <w:sz w:val="18"/>
                      <w:szCs w:val="18"/>
                      <w:vertAlign w:val="superscript"/>
                      <w14:ligatures w14:val="standardContextual"/>
                    </w:rPr>
                    <w:t>3</w:t>
                  </w:r>
                </w:p>
              </w:tc>
              <w:tc>
                <w:tcPr>
                  <w:tcW w:w="723" w:type="dxa"/>
                  <w:vAlign w:val="center"/>
                </w:tcPr>
                <w:p w14:paraId="17F59E13">
                  <w:pPr>
                    <w:widowControl w:val="0"/>
                    <w:overflowPunct w:val="0"/>
                    <w:autoSpaceDE w:val="0"/>
                    <w:autoSpaceDN w:val="0"/>
                    <w:snapToGrid w:val="0"/>
                    <w:jc w:val="center"/>
                    <w:rPr>
                      <w:sz w:val="18"/>
                      <w:szCs w:val="18"/>
                      <w14:ligatures w14:val="standardContextual"/>
                    </w:rPr>
                  </w:pPr>
                  <w:r>
                    <w:rPr>
                      <w:sz w:val="18"/>
                      <w:szCs w:val="18"/>
                      <w14:ligatures w14:val="standardContextual"/>
                    </w:rPr>
                    <w:t>浓度mg/m</w:t>
                  </w:r>
                  <w:r>
                    <w:rPr>
                      <w:sz w:val="18"/>
                      <w:szCs w:val="18"/>
                      <w:vertAlign w:val="superscript"/>
                      <w14:ligatures w14:val="standardContextual"/>
                    </w:rPr>
                    <w:t>3</w:t>
                  </w:r>
                </w:p>
              </w:tc>
              <w:tc>
                <w:tcPr>
                  <w:tcW w:w="563" w:type="dxa"/>
                  <w:vAlign w:val="center"/>
                </w:tcPr>
                <w:p w14:paraId="44BDEEC8">
                  <w:pPr>
                    <w:widowControl w:val="0"/>
                    <w:overflowPunct w:val="0"/>
                    <w:autoSpaceDE w:val="0"/>
                    <w:autoSpaceDN w:val="0"/>
                    <w:snapToGrid w:val="0"/>
                    <w:jc w:val="center"/>
                    <w:rPr>
                      <w:sz w:val="18"/>
                      <w:szCs w:val="18"/>
                      <w14:ligatures w14:val="standardContextual"/>
                    </w:rPr>
                  </w:pPr>
                  <w:r>
                    <w:rPr>
                      <w:sz w:val="18"/>
                      <w:szCs w:val="18"/>
                      <w14:ligatures w14:val="standardContextual"/>
                    </w:rPr>
                    <w:t>速率kg/h</w:t>
                  </w:r>
                </w:p>
              </w:tc>
            </w:tr>
            <w:tr w14:paraId="2CF8F2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00" w:hRule="atLeast"/>
                <w:jc w:val="center"/>
              </w:trPr>
              <w:tc>
                <w:tcPr>
                  <w:tcW w:w="1006" w:type="dxa"/>
                  <w:vMerge w:val="restart"/>
                  <w:vAlign w:val="center"/>
                </w:tcPr>
                <w:p w14:paraId="17E17CB1">
                  <w:pPr>
                    <w:widowControl w:val="0"/>
                    <w:overflowPunct w:val="0"/>
                    <w:autoSpaceDE w:val="0"/>
                    <w:autoSpaceDN w:val="0"/>
                    <w:snapToGrid w:val="0"/>
                    <w:jc w:val="center"/>
                    <w:rPr>
                      <w:sz w:val="18"/>
                      <w:szCs w:val="18"/>
                      <w14:ligatures w14:val="standardContextual"/>
                    </w:rPr>
                  </w:pPr>
                  <w:bookmarkStart w:id="170" w:name="OLE_LINK129"/>
                  <w:bookmarkStart w:id="171" w:name="_Hlk191837376"/>
                  <w:r>
                    <w:rPr>
                      <w:rFonts w:hint="eastAsia"/>
                      <w:sz w:val="18"/>
                      <w:szCs w:val="18"/>
                      <w14:ligatures w14:val="standardContextual"/>
                    </w:rPr>
                    <w:t>DA001生物质锅炉燃烧废气</w:t>
                  </w:r>
                  <w:bookmarkEnd w:id="170"/>
                </w:p>
              </w:tc>
              <w:tc>
                <w:tcPr>
                  <w:tcW w:w="830" w:type="dxa"/>
                  <w:vAlign w:val="center"/>
                </w:tcPr>
                <w:p w14:paraId="40795F8D">
                  <w:pPr>
                    <w:widowControl w:val="0"/>
                    <w:overflowPunct w:val="0"/>
                    <w:autoSpaceDE w:val="0"/>
                    <w:autoSpaceDN w:val="0"/>
                    <w:snapToGrid w:val="0"/>
                    <w:jc w:val="center"/>
                    <w:rPr>
                      <w:sz w:val="18"/>
                      <w:szCs w:val="18"/>
                      <w14:ligatures w14:val="standardContextual"/>
                    </w:rPr>
                  </w:pPr>
                  <w:r>
                    <w:rPr>
                      <w:rFonts w:hint="eastAsia"/>
                      <w:sz w:val="18"/>
                      <w:szCs w:val="18"/>
                      <w14:ligatures w14:val="standardContextual"/>
                    </w:rPr>
                    <w:t>颗粒物</w:t>
                  </w:r>
                </w:p>
              </w:tc>
              <w:tc>
                <w:tcPr>
                  <w:tcW w:w="1396" w:type="dxa"/>
                  <w:vAlign w:val="center"/>
                </w:tcPr>
                <w:p w14:paraId="0B53887B">
                  <w:pPr>
                    <w:widowControl w:val="0"/>
                    <w:overflowPunct w:val="0"/>
                    <w:autoSpaceDE w:val="0"/>
                    <w:autoSpaceDN w:val="0"/>
                    <w:snapToGrid w:val="0"/>
                    <w:jc w:val="center"/>
                    <w:rPr>
                      <w:sz w:val="18"/>
                      <w:szCs w:val="18"/>
                      <w14:ligatures w14:val="standardContextual"/>
                    </w:rPr>
                  </w:pPr>
                  <w:r>
                    <w:rPr>
                      <w:rFonts w:hint="eastAsia"/>
                      <w:sz w:val="18"/>
                      <w:szCs w:val="18"/>
                      <w14:ligatures w14:val="standardContextual"/>
                    </w:rPr>
                    <w:t>12.67</w:t>
                  </w:r>
                  <w:r>
                    <w:rPr>
                      <w:sz w:val="18"/>
                      <w:szCs w:val="18"/>
                      <w14:ligatures w14:val="standardContextual"/>
                    </w:rPr>
                    <w:t>t/a</w:t>
                  </w:r>
                </w:p>
                <w:p w14:paraId="1EA78B83">
                  <w:pPr>
                    <w:widowControl w:val="0"/>
                    <w:overflowPunct w:val="0"/>
                    <w:autoSpaceDE w:val="0"/>
                    <w:autoSpaceDN w:val="0"/>
                    <w:snapToGrid w:val="0"/>
                    <w:jc w:val="center"/>
                    <w:rPr>
                      <w:sz w:val="18"/>
                      <w:szCs w:val="18"/>
                      <w14:ligatures w14:val="standardContextual"/>
                    </w:rPr>
                  </w:pPr>
                  <w:bookmarkStart w:id="172" w:name="OLE_LINK235"/>
                  <w:r>
                    <w:rPr>
                      <w:rFonts w:hint="eastAsia"/>
                      <w:sz w:val="18"/>
                      <w:szCs w:val="18"/>
                      <w14:ligatures w14:val="standardContextual"/>
                    </w:rPr>
                    <w:t>3.2</w:t>
                  </w:r>
                  <w:bookmarkEnd w:id="172"/>
                  <w:r>
                    <w:rPr>
                      <w:sz w:val="18"/>
                      <w:szCs w:val="18"/>
                      <w14:ligatures w14:val="standardContextual"/>
                    </w:rPr>
                    <w:t>kg/h</w:t>
                  </w:r>
                </w:p>
              </w:tc>
              <w:tc>
                <w:tcPr>
                  <w:tcW w:w="839" w:type="dxa"/>
                  <w:vAlign w:val="center"/>
                </w:tcPr>
                <w:p w14:paraId="1C9FD63E">
                  <w:pPr>
                    <w:widowControl w:val="0"/>
                    <w:overflowPunct w:val="0"/>
                    <w:autoSpaceDE w:val="0"/>
                    <w:autoSpaceDN w:val="0"/>
                    <w:snapToGrid w:val="0"/>
                    <w:jc w:val="center"/>
                    <w:rPr>
                      <w:sz w:val="18"/>
                      <w:szCs w:val="18"/>
                      <w14:ligatures w14:val="standardContextual"/>
                    </w:rPr>
                  </w:pPr>
                  <w:r>
                    <w:rPr>
                      <w:rFonts w:hint="eastAsia"/>
                      <w:sz w:val="18"/>
                      <w:szCs w:val="18"/>
                      <w14:ligatures w14:val="standardContextual"/>
                    </w:rPr>
                    <w:t>80.1</w:t>
                  </w:r>
                </w:p>
              </w:tc>
              <w:tc>
                <w:tcPr>
                  <w:tcW w:w="692" w:type="dxa"/>
                  <w:vMerge w:val="restart"/>
                  <w:vAlign w:val="center"/>
                </w:tcPr>
                <w:p w14:paraId="3AEABE19">
                  <w:pPr>
                    <w:widowControl w:val="0"/>
                    <w:overflowPunct w:val="0"/>
                    <w:autoSpaceDE w:val="0"/>
                    <w:autoSpaceDN w:val="0"/>
                    <w:snapToGrid w:val="0"/>
                    <w:jc w:val="center"/>
                    <w:rPr>
                      <w:sz w:val="18"/>
                      <w:szCs w:val="18"/>
                      <w14:ligatures w14:val="standardContextual"/>
                    </w:rPr>
                  </w:pPr>
                  <w:r>
                    <w:rPr>
                      <w:sz w:val="18"/>
                      <w:szCs w:val="18"/>
                      <w14:ligatures w14:val="standardContextual"/>
                    </w:rPr>
                    <w:t>有组织</w:t>
                  </w:r>
                </w:p>
              </w:tc>
              <w:tc>
                <w:tcPr>
                  <w:tcW w:w="703" w:type="dxa"/>
                  <w:vMerge w:val="restart"/>
                  <w:vAlign w:val="center"/>
                </w:tcPr>
                <w:p w14:paraId="5A8B9A0D">
                  <w:pPr>
                    <w:widowControl w:val="0"/>
                    <w:overflowPunct w:val="0"/>
                    <w:autoSpaceDE w:val="0"/>
                    <w:autoSpaceDN w:val="0"/>
                    <w:snapToGrid w:val="0"/>
                    <w:jc w:val="center"/>
                    <w:rPr>
                      <w:sz w:val="18"/>
                      <w:szCs w:val="18"/>
                      <w14:ligatures w14:val="standardContextual"/>
                    </w:rPr>
                  </w:pPr>
                  <w:r>
                    <w:rPr>
                      <w:rFonts w:hint="eastAsia"/>
                      <w:sz w:val="18"/>
                      <w:szCs w:val="18"/>
                      <w14:ligatures w14:val="standardContextual"/>
                    </w:rPr>
                    <w:t>39936</w:t>
                  </w:r>
                </w:p>
              </w:tc>
              <w:tc>
                <w:tcPr>
                  <w:tcW w:w="1446" w:type="dxa"/>
                  <w:vAlign w:val="center"/>
                </w:tcPr>
                <w:p w14:paraId="2FFBAD47">
                  <w:pPr>
                    <w:widowControl w:val="0"/>
                    <w:overflowPunct w:val="0"/>
                    <w:autoSpaceDE w:val="0"/>
                    <w:autoSpaceDN w:val="0"/>
                    <w:snapToGrid w:val="0"/>
                    <w:jc w:val="center"/>
                    <w:rPr>
                      <w:sz w:val="18"/>
                      <w:szCs w:val="18"/>
                      <w14:ligatures w14:val="standardContextual"/>
                    </w:rPr>
                  </w:pPr>
                  <w:r>
                    <w:rPr>
                      <w:rFonts w:hint="eastAsia"/>
                      <w:sz w:val="18"/>
                      <w:szCs w:val="18"/>
                      <w14:ligatures w14:val="standardContextual"/>
                    </w:rPr>
                    <w:t>99.0%</w:t>
                  </w:r>
                </w:p>
              </w:tc>
              <w:tc>
                <w:tcPr>
                  <w:tcW w:w="829" w:type="dxa"/>
                  <w:vAlign w:val="center"/>
                </w:tcPr>
                <w:p w14:paraId="65335907">
                  <w:pPr>
                    <w:widowControl w:val="0"/>
                    <w:overflowPunct w:val="0"/>
                    <w:autoSpaceDE w:val="0"/>
                    <w:autoSpaceDN w:val="0"/>
                    <w:snapToGrid w:val="0"/>
                    <w:jc w:val="center"/>
                    <w:rPr>
                      <w:sz w:val="18"/>
                      <w:szCs w:val="18"/>
                      <w14:ligatures w14:val="standardContextual"/>
                    </w:rPr>
                  </w:pPr>
                  <w:r>
                    <w:rPr>
                      <w:sz w:val="18"/>
                      <w:szCs w:val="18"/>
                      <w14:ligatures w14:val="standardContextual"/>
                    </w:rPr>
                    <w:t>是</w:t>
                  </w:r>
                </w:p>
              </w:tc>
              <w:tc>
                <w:tcPr>
                  <w:tcW w:w="1387" w:type="dxa"/>
                  <w:vMerge w:val="restart"/>
                  <w:vAlign w:val="center"/>
                </w:tcPr>
                <w:p w14:paraId="7DEB5262">
                  <w:pPr>
                    <w:widowControl w:val="0"/>
                    <w:overflowPunct w:val="0"/>
                    <w:autoSpaceDE w:val="0"/>
                    <w:autoSpaceDN w:val="0"/>
                    <w:snapToGrid w:val="0"/>
                    <w:jc w:val="center"/>
                    <w:rPr>
                      <w:sz w:val="18"/>
                      <w:szCs w:val="18"/>
                      <w14:ligatures w14:val="standardContextual"/>
                    </w:rPr>
                  </w:pPr>
                  <w:r>
                    <w:rPr>
                      <w:rFonts w:hint="eastAsia"/>
                      <w:sz w:val="18"/>
                      <w:szCs w:val="18"/>
                      <w14:ligatures w14:val="standardContextual"/>
                    </w:rPr>
                    <w:t>“低氮燃烧+</w:t>
                  </w:r>
                  <w:r>
                    <w:rPr>
                      <w:rFonts w:hint="eastAsia"/>
                      <w:color w:val="auto"/>
                      <w:sz w:val="18"/>
                      <w:szCs w:val="18"/>
                      <w:u w:val="single"/>
                      <w14:ligatures w14:val="standardContextual"/>
                    </w:rPr>
                    <w:t>多管旋风除尘</w:t>
                  </w:r>
                  <w:r>
                    <w:rPr>
                      <w:rFonts w:hint="eastAsia"/>
                      <w:sz w:val="18"/>
                      <w:szCs w:val="18"/>
                      <w14:ligatures w14:val="standardContextual"/>
                    </w:rPr>
                    <w:t>+布袋除尘”处理达标后，由1根45m高的排气筒排放</w:t>
                  </w:r>
                </w:p>
              </w:tc>
              <w:tc>
                <w:tcPr>
                  <w:tcW w:w="1223" w:type="dxa"/>
                  <w:vAlign w:val="center"/>
                </w:tcPr>
                <w:p w14:paraId="069478E3">
                  <w:pPr>
                    <w:widowControl w:val="0"/>
                    <w:overflowPunct w:val="0"/>
                    <w:autoSpaceDE w:val="0"/>
                    <w:autoSpaceDN w:val="0"/>
                    <w:snapToGrid w:val="0"/>
                    <w:jc w:val="center"/>
                    <w:rPr>
                      <w:sz w:val="18"/>
                      <w:szCs w:val="18"/>
                      <w14:ligatures w14:val="standardContextual"/>
                    </w:rPr>
                  </w:pPr>
                  <w:r>
                    <w:rPr>
                      <w:rFonts w:hint="eastAsia"/>
                      <w:sz w:val="18"/>
                      <w:szCs w:val="18"/>
                      <w14:ligatures w14:val="standardContextual"/>
                    </w:rPr>
                    <w:t>0.127</w:t>
                  </w:r>
                  <w:r>
                    <w:rPr>
                      <w:sz w:val="18"/>
                      <w:szCs w:val="18"/>
                      <w14:ligatures w14:val="standardContextual"/>
                    </w:rPr>
                    <w:t>t/a</w:t>
                  </w:r>
                </w:p>
                <w:p w14:paraId="54EC8354">
                  <w:pPr>
                    <w:widowControl w:val="0"/>
                    <w:overflowPunct w:val="0"/>
                    <w:autoSpaceDE w:val="0"/>
                    <w:autoSpaceDN w:val="0"/>
                    <w:snapToGrid w:val="0"/>
                    <w:jc w:val="center"/>
                    <w:rPr>
                      <w:sz w:val="18"/>
                      <w:szCs w:val="18"/>
                      <w14:ligatures w14:val="standardContextual"/>
                    </w:rPr>
                  </w:pPr>
                  <w:r>
                    <w:rPr>
                      <w:rFonts w:hint="eastAsia"/>
                      <w:sz w:val="18"/>
                      <w:szCs w:val="18"/>
                      <w14:ligatures w14:val="standardContextual"/>
                    </w:rPr>
                    <w:t>0.032</w:t>
                  </w:r>
                  <w:r>
                    <w:rPr>
                      <w:sz w:val="18"/>
                      <w:szCs w:val="18"/>
                      <w14:ligatures w14:val="standardContextual"/>
                    </w:rPr>
                    <w:t>kg/h</w:t>
                  </w:r>
                </w:p>
              </w:tc>
              <w:tc>
                <w:tcPr>
                  <w:tcW w:w="723" w:type="dxa"/>
                  <w:vAlign w:val="center"/>
                </w:tcPr>
                <w:p w14:paraId="107702A3">
                  <w:pPr>
                    <w:widowControl w:val="0"/>
                    <w:overflowPunct w:val="0"/>
                    <w:autoSpaceDE w:val="0"/>
                    <w:autoSpaceDN w:val="0"/>
                    <w:snapToGrid w:val="0"/>
                    <w:jc w:val="center"/>
                    <w:rPr>
                      <w:sz w:val="18"/>
                      <w:szCs w:val="18"/>
                      <w14:ligatures w14:val="standardContextual"/>
                    </w:rPr>
                  </w:pPr>
                  <w:r>
                    <w:rPr>
                      <w:rFonts w:hint="eastAsia"/>
                      <w:sz w:val="18"/>
                      <w:szCs w:val="18"/>
                      <w14:ligatures w14:val="standardContextual"/>
                    </w:rPr>
                    <w:t>0.8</w:t>
                  </w:r>
                </w:p>
              </w:tc>
              <w:tc>
                <w:tcPr>
                  <w:tcW w:w="723" w:type="dxa"/>
                  <w:vAlign w:val="center"/>
                </w:tcPr>
                <w:p w14:paraId="36A02E96">
                  <w:pPr>
                    <w:widowControl w:val="0"/>
                    <w:overflowPunct w:val="0"/>
                    <w:autoSpaceDE w:val="0"/>
                    <w:autoSpaceDN w:val="0"/>
                    <w:snapToGrid w:val="0"/>
                    <w:jc w:val="center"/>
                    <w:rPr>
                      <w:sz w:val="18"/>
                      <w:szCs w:val="18"/>
                      <w14:ligatures w14:val="standardContextual"/>
                    </w:rPr>
                  </w:pPr>
                  <w:r>
                    <w:rPr>
                      <w:rFonts w:hint="eastAsia"/>
                      <w:sz w:val="18"/>
                      <w:szCs w:val="18"/>
                      <w14:ligatures w14:val="standardContextual"/>
                    </w:rPr>
                    <w:t>50</w:t>
                  </w:r>
                </w:p>
              </w:tc>
              <w:tc>
                <w:tcPr>
                  <w:tcW w:w="563" w:type="dxa"/>
                  <w:vAlign w:val="center"/>
                </w:tcPr>
                <w:p w14:paraId="3A280948">
                  <w:pPr>
                    <w:widowControl w:val="0"/>
                    <w:overflowPunct w:val="0"/>
                    <w:autoSpaceDE w:val="0"/>
                    <w:autoSpaceDN w:val="0"/>
                    <w:snapToGrid w:val="0"/>
                    <w:jc w:val="center"/>
                    <w:rPr>
                      <w:sz w:val="18"/>
                      <w:szCs w:val="18"/>
                      <w14:ligatures w14:val="standardContextual"/>
                    </w:rPr>
                  </w:pPr>
                  <w:r>
                    <w:rPr>
                      <w:rFonts w:hint="eastAsia"/>
                      <w:sz w:val="18"/>
                      <w:szCs w:val="18"/>
                      <w14:ligatures w14:val="standardContextual"/>
                    </w:rPr>
                    <w:t>/</w:t>
                  </w:r>
                </w:p>
              </w:tc>
            </w:tr>
            <w:tr w14:paraId="404814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55" w:hRule="atLeast"/>
                <w:jc w:val="center"/>
              </w:trPr>
              <w:tc>
                <w:tcPr>
                  <w:tcW w:w="1006" w:type="dxa"/>
                  <w:vMerge w:val="continue"/>
                  <w:vAlign w:val="center"/>
                </w:tcPr>
                <w:p w14:paraId="35DD599D">
                  <w:pPr>
                    <w:widowControl w:val="0"/>
                    <w:overflowPunct w:val="0"/>
                    <w:autoSpaceDE w:val="0"/>
                    <w:autoSpaceDN w:val="0"/>
                    <w:snapToGrid w:val="0"/>
                    <w:jc w:val="center"/>
                    <w:rPr>
                      <w:sz w:val="18"/>
                      <w:szCs w:val="18"/>
                      <w14:ligatures w14:val="standardContextual"/>
                    </w:rPr>
                  </w:pPr>
                </w:p>
              </w:tc>
              <w:tc>
                <w:tcPr>
                  <w:tcW w:w="830" w:type="dxa"/>
                  <w:vAlign w:val="center"/>
                </w:tcPr>
                <w:p w14:paraId="07C39D27">
                  <w:pPr>
                    <w:widowControl w:val="0"/>
                    <w:overflowPunct w:val="0"/>
                    <w:autoSpaceDE w:val="0"/>
                    <w:autoSpaceDN w:val="0"/>
                    <w:snapToGrid w:val="0"/>
                    <w:jc w:val="center"/>
                    <w:rPr>
                      <w:color w:val="auto"/>
                      <w:sz w:val="18"/>
                      <w:szCs w:val="18"/>
                      <w:u w:val="single"/>
                      <w14:ligatures w14:val="standardContextual"/>
                    </w:rPr>
                  </w:pPr>
                  <w:r>
                    <w:rPr>
                      <w:rFonts w:hint="eastAsia"/>
                      <w:color w:val="auto"/>
                      <w:sz w:val="18"/>
                      <w:szCs w:val="18"/>
                      <w:u w:val="single"/>
                      <w14:ligatures w14:val="standardContextual"/>
                    </w:rPr>
                    <w:t>二氧化硫</w:t>
                  </w:r>
                </w:p>
              </w:tc>
              <w:tc>
                <w:tcPr>
                  <w:tcW w:w="1396" w:type="dxa"/>
                  <w:vAlign w:val="center"/>
                </w:tcPr>
                <w:p w14:paraId="0FDE611F">
                  <w:pPr>
                    <w:widowControl w:val="0"/>
                    <w:overflowPunct w:val="0"/>
                    <w:autoSpaceDE w:val="0"/>
                    <w:autoSpaceDN w:val="0"/>
                    <w:snapToGrid w:val="0"/>
                    <w:jc w:val="center"/>
                    <w:rPr>
                      <w:color w:val="auto"/>
                      <w:sz w:val="18"/>
                      <w:szCs w:val="18"/>
                      <w:u w:val="single"/>
                      <w14:ligatures w14:val="standardContextual"/>
                    </w:rPr>
                  </w:pPr>
                  <w:r>
                    <w:rPr>
                      <w:rFonts w:hint="eastAsia"/>
                      <w:color w:val="auto"/>
                      <w:sz w:val="18"/>
                      <w:szCs w:val="18"/>
                      <w:u w:val="single"/>
                      <w14:ligatures w14:val="standardContextual"/>
                    </w:rPr>
                    <w:t>12.925</w:t>
                  </w:r>
                  <w:r>
                    <w:rPr>
                      <w:color w:val="auto"/>
                      <w:sz w:val="18"/>
                      <w:szCs w:val="18"/>
                      <w:u w:val="single"/>
                      <w14:ligatures w14:val="standardContextual"/>
                    </w:rPr>
                    <w:t>t/a</w:t>
                  </w:r>
                </w:p>
                <w:p w14:paraId="76708EB9">
                  <w:pPr>
                    <w:widowControl w:val="0"/>
                    <w:overflowPunct w:val="0"/>
                    <w:autoSpaceDE w:val="0"/>
                    <w:autoSpaceDN w:val="0"/>
                    <w:snapToGrid w:val="0"/>
                    <w:jc w:val="center"/>
                    <w:rPr>
                      <w:color w:val="auto"/>
                      <w:sz w:val="18"/>
                      <w:szCs w:val="18"/>
                      <w:u w:val="single"/>
                      <w14:ligatures w14:val="standardContextual"/>
                    </w:rPr>
                  </w:pPr>
                  <w:bookmarkStart w:id="173" w:name="OLE_LINK236"/>
                  <w:r>
                    <w:rPr>
                      <w:rFonts w:hint="eastAsia"/>
                      <w:color w:val="auto"/>
                      <w:sz w:val="18"/>
                      <w:szCs w:val="18"/>
                      <w:u w:val="single"/>
                      <w14:ligatures w14:val="standardContextual"/>
                    </w:rPr>
                    <w:t>3.264</w:t>
                  </w:r>
                  <w:bookmarkEnd w:id="173"/>
                  <w:r>
                    <w:rPr>
                      <w:color w:val="auto"/>
                      <w:sz w:val="18"/>
                      <w:szCs w:val="18"/>
                      <w:u w:val="single"/>
                      <w14:ligatures w14:val="standardContextual"/>
                    </w:rPr>
                    <w:t>kg/h</w:t>
                  </w:r>
                </w:p>
              </w:tc>
              <w:tc>
                <w:tcPr>
                  <w:tcW w:w="839" w:type="dxa"/>
                  <w:vAlign w:val="center"/>
                </w:tcPr>
                <w:p w14:paraId="572039D4">
                  <w:pPr>
                    <w:widowControl w:val="0"/>
                    <w:overflowPunct w:val="0"/>
                    <w:autoSpaceDE w:val="0"/>
                    <w:autoSpaceDN w:val="0"/>
                    <w:snapToGrid w:val="0"/>
                    <w:jc w:val="center"/>
                    <w:rPr>
                      <w:color w:val="auto"/>
                      <w:sz w:val="18"/>
                      <w:szCs w:val="18"/>
                      <w:u w:val="single"/>
                      <w14:ligatures w14:val="standardContextual"/>
                    </w:rPr>
                  </w:pPr>
                  <w:r>
                    <w:rPr>
                      <w:rFonts w:hint="eastAsia"/>
                      <w:color w:val="auto"/>
                      <w:sz w:val="18"/>
                      <w:szCs w:val="18"/>
                      <w:u w:val="single"/>
                      <w14:ligatures w14:val="standardContextual"/>
                    </w:rPr>
                    <w:t>81.7</w:t>
                  </w:r>
                </w:p>
              </w:tc>
              <w:tc>
                <w:tcPr>
                  <w:tcW w:w="692" w:type="dxa"/>
                  <w:vMerge w:val="continue"/>
                  <w:vAlign w:val="center"/>
                </w:tcPr>
                <w:p w14:paraId="0A576624">
                  <w:pPr>
                    <w:widowControl w:val="0"/>
                    <w:overflowPunct w:val="0"/>
                    <w:autoSpaceDE w:val="0"/>
                    <w:autoSpaceDN w:val="0"/>
                    <w:snapToGrid w:val="0"/>
                    <w:jc w:val="center"/>
                    <w:rPr>
                      <w:color w:val="auto"/>
                      <w:sz w:val="18"/>
                      <w:szCs w:val="18"/>
                      <w:u w:val="single"/>
                      <w14:ligatures w14:val="standardContextual"/>
                    </w:rPr>
                  </w:pPr>
                </w:p>
              </w:tc>
              <w:tc>
                <w:tcPr>
                  <w:tcW w:w="703" w:type="dxa"/>
                  <w:vMerge w:val="continue"/>
                  <w:vAlign w:val="center"/>
                </w:tcPr>
                <w:p w14:paraId="55F62AAD">
                  <w:pPr>
                    <w:widowControl w:val="0"/>
                    <w:overflowPunct w:val="0"/>
                    <w:autoSpaceDE w:val="0"/>
                    <w:autoSpaceDN w:val="0"/>
                    <w:snapToGrid w:val="0"/>
                    <w:jc w:val="center"/>
                    <w:rPr>
                      <w:color w:val="auto"/>
                      <w:sz w:val="18"/>
                      <w:szCs w:val="18"/>
                      <w:u w:val="single"/>
                      <w14:ligatures w14:val="standardContextual"/>
                    </w:rPr>
                  </w:pPr>
                </w:p>
              </w:tc>
              <w:tc>
                <w:tcPr>
                  <w:tcW w:w="1446" w:type="dxa"/>
                  <w:vAlign w:val="center"/>
                </w:tcPr>
                <w:p w14:paraId="49A2685A">
                  <w:pPr>
                    <w:widowControl w:val="0"/>
                    <w:overflowPunct w:val="0"/>
                    <w:autoSpaceDE w:val="0"/>
                    <w:autoSpaceDN w:val="0"/>
                    <w:snapToGrid w:val="0"/>
                    <w:jc w:val="center"/>
                    <w:rPr>
                      <w:color w:val="auto"/>
                      <w:sz w:val="18"/>
                      <w:szCs w:val="18"/>
                      <w:u w:val="single"/>
                      <w14:ligatures w14:val="standardContextual"/>
                    </w:rPr>
                  </w:pPr>
                  <w:r>
                    <w:rPr>
                      <w:rFonts w:hint="eastAsia"/>
                      <w:color w:val="auto"/>
                      <w:sz w:val="18"/>
                      <w:szCs w:val="18"/>
                      <w:u w:val="single"/>
                      <w14:ligatures w14:val="standardContextual"/>
                    </w:rPr>
                    <w:t>0%</w:t>
                  </w:r>
                </w:p>
              </w:tc>
              <w:tc>
                <w:tcPr>
                  <w:tcW w:w="829" w:type="dxa"/>
                  <w:vAlign w:val="center"/>
                </w:tcPr>
                <w:p w14:paraId="768A2786">
                  <w:pPr>
                    <w:widowControl w:val="0"/>
                    <w:overflowPunct w:val="0"/>
                    <w:autoSpaceDE w:val="0"/>
                    <w:autoSpaceDN w:val="0"/>
                    <w:snapToGrid w:val="0"/>
                    <w:jc w:val="center"/>
                    <w:rPr>
                      <w:color w:val="auto"/>
                      <w:sz w:val="18"/>
                      <w:szCs w:val="18"/>
                      <w:u w:val="single"/>
                      <w14:ligatures w14:val="standardContextual"/>
                    </w:rPr>
                  </w:pPr>
                  <w:r>
                    <w:rPr>
                      <w:color w:val="auto"/>
                      <w:sz w:val="18"/>
                      <w:szCs w:val="18"/>
                      <w:u w:val="single"/>
                      <w14:ligatures w14:val="standardContextual"/>
                    </w:rPr>
                    <w:t>是</w:t>
                  </w:r>
                </w:p>
              </w:tc>
              <w:tc>
                <w:tcPr>
                  <w:tcW w:w="1387" w:type="dxa"/>
                  <w:vMerge w:val="continue"/>
                  <w:vAlign w:val="center"/>
                </w:tcPr>
                <w:p w14:paraId="2D1B2FEC">
                  <w:pPr>
                    <w:widowControl w:val="0"/>
                    <w:overflowPunct w:val="0"/>
                    <w:autoSpaceDE w:val="0"/>
                    <w:autoSpaceDN w:val="0"/>
                    <w:snapToGrid w:val="0"/>
                    <w:jc w:val="center"/>
                    <w:rPr>
                      <w:color w:val="auto"/>
                      <w:sz w:val="18"/>
                      <w:szCs w:val="18"/>
                      <w:u w:val="single"/>
                      <w14:ligatures w14:val="standardContextual"/>
                    </w:rPr>
                  </w:pPr>
                </w:p>
              </w:tc>
              <w:tc>
                <w:tcPr>
                  <w:tcW w:w="1223" w:type="dxa"/>
                  <w:vAlign w:val="center"/>
                </w:tcPr>
                <w:p w14:paraId="33CC98BF">
                  <w:pPr>
                    <w:widowControl w:val="0"/>
                    <w:overflowPunct w:val="0"/>
                    <w:autoSpaceDE w:val="0"/>
                    <w:autoSpaceDN w:val="0"/>
                    <w:snapToGrid w:val="0"/>
                    <w:jc w:val="center"/>
                    <w:rPr>
                      <w:color w:val="auto"/>
                      <w:sz w:val="18"/>
                      <w:szCs w:val="18"/>
                      <w:u w:val="single"/>
                      <w14:ligatures w14:val="standardContextual"/>
                    </w:rPr>
                  </w:pPr>
                  <w:r>
                    <w:rPr>
                      <w:rFonts w:hint="eastAsia"/>
                      <w:color w:val="auto"/>
                      <w:sz w:val="18"/>
                      <w:szCs w:val="18"/>
                      <w:u w:val="single"/>
                      <w14:ligatures w14:val="standardContextual"/>
                    </w:rPr>
                    <w:t>12.925</w:t>
                  </w:r>
                  <w:r>
                    <w:rPr>
                      <w:color w:val="auto"/>
                      <w:sz w:val="18"/>
                      <w:szCs w:val="18"/>
                      <w:u w:val="single"/>
                      <w14:ligatures w14:val="standardContextual"/>
                    </w:rPr>
                    <w:t>t/a</w:t>
                  </w:r>
                </w:p>
                <w:p w14:paraId="070A4E79">
                  <w:pPr>
                    <w:widowControl w:val="0"/>
                    <w:overflowPunct w:val="0"/>
                    <w:autoSpaceDE w:val="0"/>
                    <w:autoSpaceDN w:val="0"/>
                    <w:snapToGrid w:val="0"/>
                    <w:jc w:val="center"/>
                    <w:rPr>
                      <w:color w:val="auto"/>
                      <w:sz w:val="18"/>
                      <w:szCs w:val="18"/>
                      <w:u w:val="single"/>
                      <w14:ligatures w14:val="standardContextual"/>
                    </w:rPr>
                  </w:pPr>
                  <w:r>
                    <w:rPr>
                      <w:rFonts w:hint="eastAsia"/>
                      <w:color w:val="auto"/>
                      <w:sz w:val="18"/>
                      <w:szCs w:val="18"/>
                      <w:u w:val="single"/>
                      <w14:ligatures w14:val="standardContextual"/>
                    </w:rPr>
                    <w:t>3.264</w:t>
                  </w:r>
                  <w:r>
                    <w:rPr>
                      <w:color w:val="auto"/>
                      <w:sz w:val="18"/>
                      <w:szCs w:val="18"/>
                      <w:u w:val="single"/>
                      <w14:ligatures w14:val="standardContextual"/>
                    </w:rPr>
                    <w:t>kg/h</w:t>
                  </w:r>
                </w:p>
              </w:tc>
              <w:tc>
                <w:tcPr>
                  <w:tcW w:w="723" w:type="dxa"/>
                  <w:vAlign w:val="center"/>
                </w:tcPr>
                <w:p w14:paraId="3171345A">
                  <w:pPr>
                    <w:widowControl w:val="0"/>
                    <w:overflowPunct w:val="0"/>
                    <w:autoSpaceDE w:val="0"/>
                    <w:autoSpaceDN w:val="0"/>
                    <w:snapToGrid w:val="0"/>
                    <w:jc w:val="center"/>
                    <w:rPr>
                      <w:color w:val="auto"/>
                      <w:sz w:val="18"/>
                      <w:szCs w:val="18"/>
                      <w:u w:val="single"/>
                      <w14:ligatures w14:val="standardContextual"/>
                    </w:rPr>
                  </w:pPr>
                  <w:r>
                    <w:rPr>
                      <w:rFonts w:hint="eastAsia"/>
                      <w:color w:val="auto"/>
                      <w:sz w:val="18"/>
                      <w:szCs w:val="18"/>
                      <w:u w:val="single"/>
                      <w14:ligatures w14:val="standardContextual"/>
                    </w:rPr>
                    <w:t>81.7</w:t>
                  </w:r>
                </w:p>
              </w:tc>
              <w:tc>
                <w:tcPr>
                  <w:tcW w:w="723" w:type="dxa"/>
                  <w:vAlign w:val="center"/>
                </w:tcPr>
                <w:p w14:paraId="5EF2239B">
                  <w:pPr>
                    <w:widowControl w:val="0"/>
                    <w:overflowPunct w:val="0"/>
                    <w:autoSpaceDE w:val="0"/>
                    <w:autoSpaceDN w:val="0"/>
                    <w:snapToGrid w:val="0"/>
                    <w:jc w:val="center"/>
                    <w:rPr>
                      <w:color w:val="auto"/>
                      <w:sz w:val="18"/>
                      <w:szCs w:val="18"/>
                      <w:u w:val="single"/>
                      <w14:ligatures w14:val="standardContextual"/>
                    </w:rPr>
                  </w:pPr>
                  <w:r>
                    <w:rPr>
                      <w:rFonts w:hint="eastAsia"/>
                      <w:color w:val="auto"/>
                      <w:sz w:val="18"/>
                      <w:szCs w:val="18"/>
                      <w:u w:val="single"/>
                      <w14:ligatures w14:val="standardContextual"/>
                    </w:rPr>
                    <w:t>300</w:t>
                  </w:r>
                </w:p>
              </w:tc>
              <w:tc>
                <w:tcPr>
                  <w:tcW w:w="563" w:type="dxa"/>
                  <w:vAlign w:val="center"/>
                </w:tcPr>
                <w:p w14:paraId="0A4CD305">
                  <w:pPr>
                    <w:widowControl w:val="0"/>
                    <w:overflowPunct w:val="0"/>
                    <w:autoSpaceDE w:val="0"/>
                    <w:autoSpaceDN w:val="0"/>
                    <w:snapToGrid w:val="0"/>
                    <w:jc w:val="center"/>
                    <w:rPr>
                      <w:sz w:val="18"/>
                      <w:szCs w:val="18"/>
                      <w14:ligatures w14:val="standardContextual"/>
                    </w:rPr>
                  </w:pPr>
                  <w:r>
                    <w:rPr>
                      <w:rFonts w:hint="eastAsia"/>
                      <w:sz w:val="18"/>
                      <w:szCs w:val="18"/>
                      <w14:ligatures w14:val="standardContextual"/>
                    </w:rPr>
                    <w:t>/</w:t>
                  </w:r>
                </w:p>
              </w:tc>
            </w:tr>
            <w:tr w14:paraId="1C09C0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1006" w:type="dxa"/>
                  <w:vMerge w:val="continue"/>
                  <w:vAlign w:val="center"/>
                </w:tcPr>
                <w:p w14:paraId="636BF0AB">
                  <w:pPr>
                    <w:widowControl w:val="0"/>
                    <w:overflowPunct w:val="0"/>
                    <w:autoSpaceDE w:val="0"/>
                    <w:autoSpaceDN w:val="0"/>
                    <w:snapToGrid w:val="0"/>
                    <w:jc w:val="center"/>
                    <w:rPr>
                      <w:sz w:val="18"/>
                      <w:szCs w:val="18"/>
                      <w14:ligatures w14:val="standardContextual"/>
                    </w:rPr>
                  </w:pPr>
                  <w:bookmarkStart w:id="174" w:name="_Hlk192784239"/>
                </w:p>
              </w:tc>
              <w:tc>
                <w:tcPr>
                  <w:tcW w:w="830" w:type="dxa"/>
                  <w:vAlign w:val="center"/>
                </w:tcPr>
                <w:p w14:paraId="3EFCB846">
                  <w:pPr>
                    <w:widowControl w:val="0"/>
                    <w:overflowPunct w:val="0"/>
                    <w:autoSpaceDE w:val="0"/>
                    <w:autoSpaceDN w:val="0"/>
                    <w:snapToGrid w:val="0"/>
                    <w:jc w:val="center"/>
                    <w:rPr>
                      <w:sz w:val="18"/>
                      <w:szCs w:val="18"/>
                      <w14:ligatures w14:val="standardContextual"/>
                    </w:rPr>
                  </w:pPr>
                  <w:r>
                    <w:rPr>
                      <w:rFonts w:hint="eastAsia"/>
                      <w:sz w:val="18"/>
                      <w:szCs w:val="18"/>
                      <w14:ligatures w14:val="standardContextual"/>
                    </w:rPr>
                    <w:t>氮氧化物</w:t>
                  </w:r>
                </w:p>
              </w:tc>
              <w:tc>
                <w:tcPr>
                  <w:tcW w:w="1396" w:type="dxa"/>
                  <w:vAlign w:val="center"/>
                </w:tcPr>
                <w:p w14:paraId="00361B58">
                  <w:pPr>
                    <w:widowControl w:val="0"/>
                    <w:overflowPunct w:val="0"/>
                    <w:autoSpaceDE w:val="0"/>
                    <w:autoSpaceDN w:val="0"/>
                    <w:snapToGrid w:val="0"/>
                    <w:jc w:val="center"/>
                    <w:rPr>
                      <w:sz w:val="18"/>
                      <w:szCs w:val="18"/>
                      <w14:ligatures w14:val="standardContextual"/>
                    </w:rPr>
                  </w:pPr>
                  <w:r>
                    <w:rPr>
                      <w:rFonts w:hint="eastAsia"/>
                      <w:sz w:val="18"/>
                      <w:szCs w:val="18"/>
                      <w14:ligatures w14:val="standardContextual"/>
                    </w:rPr>
                    <w:t>25.851</w:t>
                  </w:r>
                  <w:r>
                    <w:rPr>
                      <w:sz w:val="18"/>
                      <w:szCs w:val="18"/>
                      <w14:ligatures w14:val="standardContextual"/>
                    </w:rPr>
                    <w:t>t/a</w:t>
                  </w:r>
                </w:p>
                <w:p w14:paraId="36C39E24">
                  <w:pPr>
                    <w:widowControl w:val="0"/>
                    <w:overflowPunct w:val="0"/>
                    <w:autoSpaceDE w:val="0"/>
                    <w:autoSpaceDN w:val="0"/>
                    <w:snapToGrid w:val="0"/>
                    <w:jc w:val="center"/>
                    <w:rPr>
                      <w:sz w:val="18"/>
                      <w:szCs w:val="18"/>
                      <w14:ligatures w14:val="standardContextual"/>
                    </w:rPr>
                  </w:pPr>
                  <w:bookmarkStart w:id="175" w:name="OLE_LINK237"/>
                  <w:r>
                    <w:rPr>
                      <w:rFonts w:hint="eastAsia"/>
                      <w:sz w:val="18"/>
                      <w:szCs w:val="18"/>
                      <w14:ligatures w14:val="standardContextual"/>
                    </w:rPr>
                    <w:t>6.528</w:t>
                  </w:r>
                  <w:bookmarkEnd w:id="175"/>
                  <w:r>
                    <w:rPr>
                      <w:sz w:val="18"/>
                      <w:szCs w:val="18"/>
                      <w14:ligatures w14:val="standardContextual"/>
                    </w:rPr>
                    <w:t>kg/h</w:t>
                  </w:r>
                </w:p>
              </w:tc>
              <w:tc>
                <w:tcPr>
                  <w:tcW w:w="839" w:type="dxa"/>
                  <w:vAlign w:val="center"/>
                </w:tcPr>
                <w:p w14:paraId="09969423">
                  <w:pPr>
                    <w:widowControl w:val="0"/>
                    <w:overflowPunct w:val="0"/>
                    <w:autoSpaceDE w:val="0"/>
                    <w:autoSpaceDN w:val="0"/>
                    <w:snapToGrid w:val="0"/>
                    <w:jc w:val="center"/>
                    <w:rPr>
                      <w:sz w:val="18"/>
                      <w:szCs w:val="18"/>
                      <w14:ligatures w14:val="standardContextual"/>
                    </w:rPr>
                  </w:pPr>
                  <w:r>
                    <w:rPr>
                      <w:rFonts w:hint="eastAsia"/>
                      <w:sz w:val="18"/>
                      <w:szCs w:val="18"/>
                      <w14:ligatures w14:val="standardContextual"/>
                    </w:rPr>
                    <w:t>163.5</w:t>
                  </w:r>
                </w:p>
              </w:tc>
              <w:tc>
                <w:tcPr>
                  <w:tcW w:w="692" w:type="dxa"/>
                  <w:vMerge w:val="continue"/>
                  <w:vAlign w:val="center"/>
                </w:tcPr>
                <w:p w14:paraId="70BDC865">
                  <w:pPr>
                    <w:widowControl w:val="0"/>
                    <w:overflowPunct w:val="0"/>
                    <w:autoSpaceDE w:val="0"/>
                    <w:autoSpaceDN w:val="0"/>
                    <w:snapToGrid w:val="0"/>
                    <w:jc w:val="center"/>
                    <w:rPr>
                      <w:sz w:val="18"/>
                      <w:szCs w:val="18"/>
                      <w14:ligatures w14:val="standardContextual"/>
                    </w:rPr>
                  </w:pPr>
                </w:p>
              </w:tc>
              <w:tc>
                <w:tcPr>
                  <w:tcW w:w="703" w:type="dxa"/>
                  <w:vMerge w:val="continue"/>
                  <w:vAlign w:val="center"/>
                </w:tcPr>
                <w:p w14:paraId="3BBDC80C">
                  <w:pPr>
                    <w:widowControl w:val="0"/>
                    <w:overflowPunct w:val="0"/>
                    <w:autoSpaceDE w:val="0"/>
                    <w:autoSpaceDN w:val="0"/>
                    <w:snapToGrid w:val="0"/>
                    <w:jc w:val="center"/>
                    <w:rPr>
                      <w:sz w:val="18"/>
                      <w:szCs w:val="18"/>
                      <w14:ligatures w14:val="standardContextual"/>
                    </w:rPr>
                  </w:pPr>
                </w:p>
              </w:tc>
              <w:tc>
                <w:tcPr>
                  <w:tcW w:w="1446" w:type="dxa"/>
                  <w:vAlign w:val="center"/>
                </w:tcPr>
                <w:p w14:paraId="580E13B3">
                  <w:pPr>
                    <w:widowControl w:val="0"/>
                    <w:overflowPunct w:val="0"/>
                    <w:autoSpaceDE w:val="0"/>
                    <w:autoSpaceDN w:val="0"/>
                    <w:snapToGrid w:val="0"/>
                    <w:jc w:val="center"/>
                    <w:rPr>
                      <w:sz w:val="18"/>
                      <w:szCs w:val="18"/>
                      <w14:ligatures w14:val="standardContextual"/>
                    </w:rPr>
                  </w:pPr>
                  <w:r>
                    <w:rPr>
                      <w:rFonts w:hint="eastAsia"/>
                      <w:sz w:val="18"/>
                      <w:szCs w:val="18"/>
                      <w14:ligatures w14:val="standardContextual"/>
                    </w:rPr>
                    <w:t>30%</w:t>
                  </w:r>
                </w:p>
              </w:tc>
              <w:tc>
                <w:tcPr>
                  <w:tcW w:w="829" w:type="dxa"/>
                  <w:vAlign w:val="center"/>
                </w:tcPr>
                <w:p w14:paraId="2F169C42">
                  <w:pPr>
                    <w:widowControl w:val="0"/>
                    <w:overflowPunct w:val="0"/>
                    <w:autoSpaceDE w:val="0"/>
                    <w:autoSpaceDN w:val="0"/>
                    <w:snapToGrid w:val="0"/>
                    <w:jc w:val="center"/>
                    <w:rPr>
                      <w:sz w:val="18"/>
                      <w:szCs w:val="18"/>
                      <w14:ligatures w14:val="standardContextual"/>
                    </w:rPr>
                  </w:pPr>
                  <w:r>
                    <w:rPr>
                      <w:sz w:val="18"/>
                      <w:szCs w:val="18"/>
                      <w14:ligatures w14:val="standardContextual"/>
                    </w:rPr>
                    <w:t>是</w:t>
                  </w:r>
                </w:p>
              </w:tc>
              <w:tc>
                <w:tcPr>
                  <w:tcW w:w="1387" w:type="dxa"/>
                  <w:vMerge w:val="continue"/>
                  <w:vAlign w:val="center"/>
                </w:tcPr>
                <w:p w14:paraId="11756ED7">
                  <w:pPr>
                    <w:widowControl w:val="0"/>
                    <w:overflowPunct w:val="0"/>
                    <w:autoSpaceDE w:val="0"/>
                    <w:autoSpaceDN w:val="0"/>
                    <w:snapToGrid w:val="0"/>
                    <w:jc w:val="center"/>
                    <w:rPr>
                      <w:sz w:val="18"/>
                      <w:szCs w:val="18"/>
                      <w14:ligatures w14:val="standardContextual"/>
                    </w:rPr>
                  </w:pPr>
                </w:p>
              </w:tc>
              <w:tc>
                <w:tcPr>
                  <w:tcW w:w="1223" w:type="dxa"/>
                  <w:vAlign w:val="center"/>
                </w:tcPr>
                <w:p w14:paraId="5B0D4F38">
                  <w:pPr>
                    <w:widowControl w:val="0"/>
                    <w:overflowPunct w:val="0"/>
                    <w:autoSpaceDE w:val="0"/>
                    <w:autoSpaceDN w:val="0"/>
                    <w:snapToGrid w:val="0"/>
                    <w:jc w:val="center"/>
                    <w:rPr>
                      <w:sz w:val="18"/>
                      <w:szCs w:val="18"/>
                      <w14:ligatures w14:val="standardContextual"/>
                    </w:rPr>
                  </w:pPr>
                  <w:r>
                    <w:rPr>
                      <w:rFonts w:hint="eastAsia"/>
                      <w:sz w:val="18"/>
                      <w:szCs w:val="18"/>
                      <w14:ligatures w14:val="standardContextual"/>
                    </w:rPr>
                    <w:t>18.096</w:t>
                  </w:r>
                  <w:r>
                    <w:rPr>
                      <w:sz w:val="18"/>
                      <w:szCs w:val="18"/>
                      <w14:ligatures w14:val="standardContextual"/>
                    </w:rPr>
                    <w:t>t/a</w:t>
                  </w:r>
                </w:p>
                <w:p w14:paraId="1E80A5A6">
                  <w:pPr>
                    <w:widowControl w:val="0"/>
                    <w:overflowPunct w:val="0"/>
                    <w:autoSpaceDE w:val="0"/>
                    <w:autoSpaceDN w:val="0"/>
                    <w:snapToGrid w:val="0"/>
                    <w:jc w:val="center"/>
                    <w:rPr>
                      <w:sz w:val="18"/>
                      <w:szCs w:val="18"/>
                      <w14:ligatures w14:val="standardContextual"/>
                    </w:rPr>
                  </w:pPr>
                  <w:r>
                    <w:rPr>
                      <w:rFonts w:hint="eastAsia"/>
                      <w:sz w:val="18"/>
                      <w:szCs w:val="18"/>
                      <w14:ligatures w14:val="standardContextual"/>
                    </w:rPr>
                    <w:t>4.570</w:t>
                  </w:r>
                  <w:r>
                    <w:rPr>
                      <w:sz w:val="18"/>
                      <w:szCs w:val="18"/>
                      <w14:ligatures w14:val="standardContextual"/>
                    </w:rPr>
                    <w:t>kg/h</w:t>
                  </w:r>
                </w:p>
              </w:tc>
              <w:tc>
                <w:tcPr>
                  <w:tcW w:w="723" w:type="dxa"/>
                  <w:vAlign w:val="center"/>
                </w:tcPr>
                <w:p w14:paraId="485F9244">
                  <w:pPr>
                    <w:widowControl w:val="0"/>
                    <w:overflowPunct w:val="0"/>
                    <w:autoSpaceDE w:val="0"/>
                    <w:autoSpaceDN w:val="0"/>
                    <w:snapToGrid w:val="0"/>
                    <w:jc w:val="center"/>
                    <w:rPr>
                      <w:sz w:val="18"/>
                      <w:szCs w:val="18"/>
                      <w14:ligatures w14:val="standardContextual"/>
                    </w:rPr>
                  </w:pPr>
                  <w:r>
                    <w:rPr>
                      <w:rFonts w:hint="eastAsia"/>
                      <w:sz w:val="18"/>
                      <w:szCs w:val="18"/>
                      <w14:ligatures w14:val="standardContextual"/>
                    </w:rPr>
                    <w:t>114.5</w:t>
                  </w:r>
                </w:p>
              </w:tc>
              <w:tc>
                <w:tcPr>
                  <w:tcW w:w="723" w:type="dxa"/>
                  <w:vAlign w:val="center"/>
                </w:tcPr>
                <w:p w14:paraId="7A377C67">
                  <w:pPr>
                    <w:widowControl w:val="0"/>
                    <w:overflowPunct w:val="0"/>
                    <w:autoSpaceDE w:val="0"/>
                    <w:autoSpaceDN w:val="0"/>
                    <w:snapToGrid w:val="0"/>
                    <w:jc w:val="center"/>
                    <w:rPr>
                      <w:sz w:val="18"/>
                      <w:szCs w:val="18"/>
                      <w14:ligatures w14:val="standardContextual"/>
                    </w:rPr>
                  </w:pPr>
                  <w:r>
                    <w:rPr>
                      <w:rFonts w:hint="eastAsia"/>
                      <w:sz w:val="18"/>
                      <w:szCs w:val="18"/>
                      <w14:ligatures w14:val="standardContextual"/>
                    </w:rPr>
                    <w:t>300</w:t>
                  </w:r>
                </w:p>
              </w:tc>
              <w:tc>
                <w:tcPr>
                  <w:tcW w:w="563" w:type="dxa"/>
                  <w:vAlign w:val="center"/>
                </w:tcPr>
                <w:p w14:paraId="3DAC74CD">
                  <w:pPr>
                    <w:widowControl w:val="0"/>
                    <w:overflowPunct w:val="0"/>
                    <w:autoSpaceDE w:val="0"/>
                    <w:autoSpaceDN w:val="0"/>
                    <w:snapToGrid w:val="0"/>
                    <w:jc w:val="center"/>
                    <w:rPr>
                      <w:sz w:val="18"/>
                      <w:szCs w:val="18"/>
                      <w14:ligatures w14:val="standardContextual"/>
                    </w:rPr>
                  </w:pPr>
                  <w:r>
                    <w:rPr>
                      <w:rFonts w:hint="eastAsia"/>
                      <w:sz w:val="18"/>
                      <w:szCs w:val="18"/>
                      <w14:ligatures w14:val="standardContextual"/>
                    </w:rPr>
                    <w:t>/</w:t>
                  </w:r>
                </w:p>
              </w:tc>
            </w:tr>
            <w:bookmarkEnd w:id="171"/>
            <w:bookmarkEnd w:id="174"/>
          </w:tbl>
          <w:p w14:paraId="05AD04AC">
            <w:pPr>
              <w:pStyle w:val="49"/>
            </w:pPr>
            <w:bookmarkStart w:id="176" w:name="_Ref176949030"/>
            <w:r>
              <w:rPr>
                <w:rFonts w:hint="eastAsia"/>
              </w:rPr>
              <w:t xml:space="preserve">表4- </w:t>
            </w:r>
            <w:r>
              <w:t>2</w:t>
            </w:r>
            <w:r>
              <w:rPr>
                <w:rFonts w:hint="eastAsia"/>
              </w:rPr>
              <w:t>：本项目废气排放口基本情况表</w:t>
            </w:r>
            <w:bookmarkEnd w:id="176"/>
          </w:p>
          <w:tbl>
            <w:tblPr>
              <w:tblStyle w:val="5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1105"/>
              <w:gridCol w:w="2091"/>
              <w:gridCol w:w="1122"/>
              <w:gridCol w:w="747"/>
              <w:gridCol w:w="1382"/>
              <w:gridCol w:w="1382"/>
              <w:gridCol w:w="1241"/>
              <w:gridCol w:w="3290"/>
            </w:tblGrid>
            <w:tr w14:paraId="1337B8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447" w:type="pct"/>
                  <w:tcBorders>
                    <w:top w:val="single" w:color="auto" w:sz="12" w:space="0"/>
                    <w:left w:val="nil"/>
                    <w:bottom w:val="single" w:color="auto" w:sz="12" w:space="0"/>
                    <w:right w:val="single" w:color="auto" w:sz="4" w:space="0"/>
                    <w:insideH w:val="single" w:sz="12" w:space="0"/>
                    <w:insideV w:val="single" w:sz="4" w:space="0"/>
                    <w:tl2br w:val="nil"/>
                    <w:tr2bl w:val="nil"/>
                  </w:tcBorders>
                  <w:vAlign w:val="center"/>
                </w:tcPr>
                <w:p w14:paraId="2A03F05F">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z w:val="21"/>
                      <w:szCs w:val="21"/>
                      <w14:ligatures w14:val="standardContextual"/>
                    </w:rPr>
                  </w:pPr>
                  <w:r>
                    <w:rPr>
                      <w:rFonts w:hint="eastAsia" w:ascii="Times New Roman" w:hAnsi="Times New Roman" w:eastAsia="宋体" w:cs="Times New Roman"/>
                      <w:b/>
                      <w:i w:val="0"/>
                      <w:sz w:val="21"/>
                      <w:szCs w:val="21"/>
                      <w14:ligatures w14:val="standardContextual"/>
                    </w:rPr>
                    <w:t>编号</w:t>
                  </w:r>
                </w:p>
              </w:tc>
              <w:tc>
                <w:tcPr>
                  <w:tcW w:w="846"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74293FC1">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z w:val="21"/>
                      <w:szCs w:val="21"/>
                      <w14:ligatures w14:val="standardContextual"/>
                    </w:rPr>
                  </w:pPr>
                  <w:r>
                    <w:rPr>
                      <w:rFonts w:hint="eastAsia" w:ascii="Times New Roman" w:hAnsi="Times New Roman" w:eastAsia="宋体" w:cs="Times New Roman"/>
                      <w:b/>
                      <w:i w:val="0"/>
                      <w:sz w:val="21"/>
                      <w:szCs w:val="21"/>
                      <w14:ligatures w14:val="standardContextual"/>
                    </w:rPr>
                    <w:t>坐标</w:t>
                  </w:r>
                </w:p>
              </w:tc>
              <w:tc>
                <w:tcPr>
                  <w:tcW w:w="454"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6D7FC7BF">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z w:val="21"/>
                      <w:szCs w:val="21"/>
                      <w14:ligatures w14:val="standardContextual"/>
                    </w:rPr>
                  </w:pPr>
                  <w:r>
                    <w:rPr>
                      <w:rFonts w:hint="eastAsia" w:ascii="Times New Roman" w:hAnsi="Times New Roman" w:eastAsia="宋体" w:cs="Times New Roman"/>
                      <w:b/>
                      <w:i w:val="0"/>
                      <w:sz w:val="21"/>
                      <w:szCs w:val="21"/>
                      <w14:ligatures w14:val="standardContextual"/>
                    </w:rPr>
                    <w:t>高度</w:t>
                  </w:r>
                </w:p>
              </w:tc>
              <w:tc>
                <w:tcPr>
                  <w:tcW w:w="302"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5A1ED54F">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z w:val="21"/>
                      <w:szCs w:val="21"/>
                      <w14:ligatures w14:val="standardContextual"/>
                    </w:rPr>
                  </w:pPr>
                  <w:r>
                    <w:rPr>
                      <w:rFonts w:hint="eastAsia" w:ascii="Times New Roman" w:hAnsi="Times New Roman" w:eastAsia="宋体" w:cs="Times New Roman"/>
                      <w:b/>
                      <w:i w:val="0"/>
                      <w:sz w:val="21"/>
                      <w:szCs w:val="21"/>
                      <w14:ligatures w14:val="standardContextual"/>
                    </w:rPr>
                    <w:t>内径</w:t>
                  </w:r>
                </w:p>
              </w:tc>
              <w:tc>
                <w:tcPr>
                  <w:tcW w:w="559"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46D97232">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z w:val="21"/>
                      <w:szCs w:val="21"/>
                      <w14:ligatures w14:val="standardContextual"/>
                    </w:rPr>
                  </w:pPr>
                  <w:r>
                    <w:rPr>
                      <w:rFonts w:hint="eastAsia" w:ascii="Times New Roman" w:hAnsi="Times New Roman" w:eastAsia="宋体" w:cs="Times New Roman"/>
                      <w:b/>
                      <w:i w:val="0"/>
                      <w:sz w:val="21"/>
                      <w:szCs w:val="21"/>
                      <w14:ligatures w14:val="standardContextual"/>
                    </w:rPr>
                    <w:t>流速</w:t>
                  </w:r>
                </w:p>
              </w:tc>
              <w:tc>
                <w:tcPr>
                  <w:tcW w:w="559"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6BEA1954">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z w:val="21"/>
                      <w:szCs w:val="21"/>
                      <w14:ligatures w14:val="standardContextual"/>
                    </w:rPr>
                  </w:pPr>
                  <w:r>
                    <w:rPr>
                      <w:rFonts w:hint="eastAsia" w:ascii="Times New Roman" w:hAnsi="Times New Roman" w:eastAsia="宋体" w:cs="Times New Roman"/>
                      <w:b/>
                      <w:i w:val="0"/>
                      <w:sz w:val="21"/>
                      <w:szCs w:val="21"/>
                      <w14:ligatures w14:val="standardContextual"/>
                    </w:rPr>
                    <w:t>温度</w:t>
                  </w:r>
                </w:p>
              </w:tc>
              <w:tc>
                <w:tcPr>
                  <w:tcW w:w="502"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0EDA9F5C">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z w:val="21"/>
                      <w:szCs w:val="21"/>
                      <w14:ligatures w14:val="standardContextual"/>
                    </w:rPr>
                  </w:pPr>
                  <w:r>
                    <w:rPr>
                      <w:rFonts w:hint="eastAsia" w:ascii="Times New Roman" w:hAnsi="Times New Roman" w:eastAsia="宋体" w:cs="Times New Roman"/>
                      <w:b/>
                      <w:i w:val="0"/>
                      <w:sz w:val="21"/>
                      <w:szCs w:val="21"/>
                      <w14:ligatures w14:val="standardContextual"/>
                    </w:rPr>
                    <w:t>类型</w:t>
                  </w:r>
                </w:p>
              </w:tc>
              <w:tc>
                <w:tcPr>
                  <w:tcW w:w="1331" w:type="pct"/>
                  <w:tcBorders>
                    <w:top w:val="single" w:color="auto" w:sz="12" w:space="0"/>
                    <w:bottom w:val="single" w:color="auto" w:sz="12" w:space="0"/>
                    <w:right w:val="nil"/>
                    <w:insideH w:val="single" w:sz="12" w:space="0"/>
                    <w:insideV w:val="single" w:sz="4" w:space="0"/>
                    <w:tl2br w:val="nil"/>
                    <w:tr2bl w:val="nil"/>
                  </w:tcBorders>
                  <w:vAlign w:val="center"/>
                </w:tcPr>
                <w:p w14:paraId="74203900">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z w:val="21"/>
                      <w:szCs w:val="21"/>
                      <w14:ligatures w14:val="standardContextual"/>
                    </w:rPr>
                  </w:pPr>
                  <w:r>
                    <w:rPr>
                      <w:rFonts w:hint="eastAsia" w:ascii="Times New Roman" w:hAnsi="Times New Roman" w:eastAsia="宋体" w:cs="Times New Roman"/>
                      <w:b/>
                      <w:i w:val="0"/>
                      <w:sz w:val="21"/>
                      <w:szCs w:val="21"/>
                      <w14:ligatures w14:val="standardContextual"/>
                    </w:rPr>
                    <w:t>排放标准</w:t>
                  </w:r>
                </w:p>
              </w:tc>
            </w:tr>
            <w:tr w14:paraId="1C520D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447" w:type="pct"/>
                  <w:vAlign w:val="center"/>
                </w:tcPr>
                <w:p w14:paraId="5B9F78AB">
                  <w:pPr>
                    <w:widowControl w:val="0"/>
                    <w:overflowPunct w:val="0"/>
                    <w:autoSpaceDE w:val="0"/>
                    <w:autoSpaceDN w:val="0"/>
                    <w:snapToGrid w:val="0"/>
                    <w:jc w:val="center"/>
                    <w:rPr>
                      <w14:ligatures w14:val="standardContextual"/>
                    </w:rPr>
                  </w:pPr>
                  <w:r>
                    <w:rPr>
                      <w:rFonts w:hint="eastAsia"/>
                      <w14:ligatures w14:val="standardContextual"/>
                    </w:rPr>
                    <w:t>DA001</w:t>
                  </w:r>
                </w:p>
              </w:tc>
              <w:tc>
                <w:tcPr>
                  <w:tcW w:w="846" w:type="pct"/>
                  <w:vAlign w:val="center"/>
                </w:tcPr>
                <w:p w14:paraId="0FE5182F">
                  <w:pPr>
                    <w:widowControl w:val="0"/>
                    <w:overflowPunct w:val="0"/>
                    <w:autoSpaceDE w:val="0"/>
                    <w:autoSpaceDN w:val="0"/>
                    <w:snapToGrid w:val="0"/>
                    <w:jc w:val="center"/>
                    <w:rPr>
                      <w14:ligatures w14:val="standardContextual"/>
                    </w:rPr>
                  </w:pPr>
                  <w:r>
                    <w:rPr>
                      <w:rFonts w:hint="eastAsia"/>
                      <w14:ligatures w14:val="standardContextual"/>
                    </w:rPr>
                    <w:t>E108°41′31.804″</w:t>
                  </w:r>
                  <w:r>
                    <w:rPr>
                      <w14:ligatures w14:val="standardContextual"/>
                    </w:rPr>
                    <w:br w:type="textWrapping"/>
                  </w:r>
                  <w:r>
                    <w:rPr>
                      <w:rFonts w:hint="eastAsia"/>
                      <w14:ligatures w14:val="standardContextual"/>
                    </w:rPr>
                    <w:t>N21°47′42.917″</w:t>
                  </w:r>
                </w:p>
              </w:tc>
              <w:tc>
                <w:tcPr>
                  <w:tcW w:w="454" w:type="pct"/>
                  <w:vAlign w:val="center"/>
                </w:tcPr>
                <w:p w14:paraId="62DD714E">
                  <w:pPr>
                    <w:widowControl w:val="0"/>
                    <w:overflowPunct w:val="0"/>
                    <w:autoSpaceDE w:val="0"/>
                    <w:autoSpaceDN w:val="0"/>
                    <w:snapToGrid w:val="0"/>
                    <w:jc w:val="center"/>
                    <w:rPr>
                      <w14:ligatures w14:val="standardContextual"/>
                    </w:rPr>
                  </w:pPr>
                  <w:r>
                    <w:rPr>
                      <w:rFonts w:hint="eastAsia"/>
                      <w14:ligatures w14:val="standardContextual"/>
                    </w:rPr>
                    <w:t>45m</w:t>
                  </w:r>
                </w:p>
              </w:tc>
              <w:tc>
                <w:tcPr>
                  <w:tcW w:w="302" w:type="pct"/>
                  <w:vAlign w:val="center"/>
                </w:tcPr>
                <w:p w14:paraId="645099F2">
                  <w:pPr>
                    <w:widowControl w:val="0"/>
                    <w:overflowPunct w:val="0"/>
                    <w:autoSpaceDE w:val="0"/>
                    <w:autoSpaceDN w:val="0"/>
                    <w:snapToGrid w:val="0"/>
                    <w:jc w:val="center"/>
                    <w:rPr>
                      <w14:ligatures w14:val="standardContextual"/>
                    </w:rPr>
                  </w:pPr>
                  <w:r>
                    <w:rPr>
                      <w:rFonts w:hint="eastAsia"/>
                      <w14:ligatures w14:val="standardContextual"/>
                    </w:rPr>
                    <w:t>0.8m</w:t>
                  </w:r>
                </w:p>
              </w:tc>
              <w:tc>
                <w:tcPr>
                  <w:tcW w:w="559" w:type="pct"/>
                  <w:vAlign w:val="center"/>
                </w:tcPr>
                <w:p w14:paraId="2C0CAD11">
                  <w:pPr>
                    <w:widowControl w:val="0"/>
                    <w:overflowPunct w:val="0"/>
                    <w:autoSpaceDE w:val="0"/>
                    <w:autoSpaceDN w:val="0"/>
                    <w:snapToGrid w:val="0"/>
                    <w:jc w:val="center"/>
                    <w:rPr>
                      <w14:ligatures w14:val="standardContextual"/>
                    </w:rPr>
                  </w:pPr>
                  <w:r>
                    <w:rPr>
                      <w:rFonts w:hint="eastAsia"/>
                      <w14:ligatures w14:val="standardContextual"/>
                    </w:rPr>
                    <w:t>20m/s</w:t>
                  </w:r>
                </w:p>
              </w:tc>
              <w:tc>
                <w:tcPr>
                  <w:tcW w:w="559" w:type="pct"/>
                  <w:vAlign w:val="center"/>
                </w:tcPr>
                <w:p w14:paraId="032EC63D">
                  <w:pPr>
                    <w:widowControl w:val="0"/>
                    <w:overflowPunct w:val="0"/>
                    <w:autoSpaceDE w:val="0"/>
                    <w:autoSpaceDN w:val="0"/>
                    <w:snapToGrid w:val="0"/>
                    <w:jc w:val="center"/>
                    <w:rPr>
                      <w14:ligatures w14:val="standardContextual"/>
                    </w:rPr>
                  </w:pPr>
                  <w:r>
                    <w:rPr>
                      <w:rFonts w:hint="eastAsia"/>
                      <w14:ligatures w14:val="standardContextual"/>
                    </w:rPr>
                    <w:t>60℃</w:t>
                  </w:r>
                </w:p>
              </w:tc>
              <w:tc>
                <w:tcPr>
                  <w:tcW w:w="502" w:type="pct"/>
                  <w:vAlign w:val="center"/>
                </w:tcPr>
                <w:p w14:paraId="3477C629">
                  <w:pPr>
                    <w:widowControl w:val="0"/>
                    <w:overflowPunct w:val="0"/>
                    <w:autoSpaceDE w:val="0"/>
                    <w:autoSpaceDN w:val="0"/>
                    <w:snapToGrid w:val="0"/>
                    <w:jc w:val="center"/>
                    <w:rPr>
                      <w14:ligatures w14:val="standardContextual"/>
                    </w:rPr>
                  </w:pPr>
                  <w:r>
                    <w:rPr>
                      <w:rFonts w:hint="eastAsia"/>
                      <w14:ligatures w14:val="standardContextual"/>
                    </w:rPr>
                    <w:t>主要排放口</w:t>
                  </w:r>
                </w:p>
              </w:tc>
              <w:tc>
                <w:tcPr>
                  <w:tcW w:w="1331" w:type="pct"/>
                  <w:vAlign w:val="center"/>
                </w:tcPr>
                <w:p w14:paraId="71F9EEFB">
                  <w:pPr>
                    <w:widowControl w:val="0"/>
                    <w:overflowPunct w:val="0"/>
                    <w:autoSpaceDE w:val="0"/>
                    <w:autoSpaceDN w:val="0"/>
                    <w:snapToGrid w:val="0"/>
                    <w:jc w:val="center"/>
                    <w:rPr>
                      <w14:ligatures w14:val="standardContextual"/>
                    </w:rPr>
                  </w:pPr>
                  <w:r>
                    <w:rPr>
                      <w14:ligatures w14:val="standardContextual"/>
                    </w:rPr>
                    <w:t>GB 13271-2014</w:t>
                  </w:r>
                </w:p>
              </w:tc>
            </w:tr>
          </w:tbl>
          <w:p w14:paraId="4D32032E">
            <w:pPr>
              <w:pStyle w:val="3"/>
              <w:ind w:firstLine="480"/>
            </w:pPr>
          </w:p>
        </w:tc>
      </w:tr>
    </w:tbl>
    <w:p w14:paraId="131DE6AE">
      <w:pPr>
        <w:sectPr>
          <w:pgSz w:w="16840" w:h="11907" w:orient="landscape"/>
          <w:pgMar w:top="1531" w:right="2127" w:bottom="1531" w:left="1701" w:header="851" w:footer="851" w:gutter="0"/>
          <w:cols w:space="720" w:num="1"/>
          <w:docGrid w:linePitch="312" w:charSpace="0"/>
        </w:sectPr>
      </w:pP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9"/>
        <w:gridCol w:w="8166"/>
      </w:tblGrid>
      <w:tr w14:paraId="22833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vAlign w:val="center"/>
          </w:tcPr>
          <w:p w14:paraId="0F1EA763">
            <w:pPr>
              <w:pStyle w:val="67"/>
              <w:rPr>
                <w:rFonts w:hint="eastAsia"/>
              </w:rPr>
            </w:pPr>
            <w:bookmarkStart w:id="177" w:name="_Toc175609276"/>
            <w:r>
              <w:rPr>
                <w:rFonts w:hint="eastAsia"/>
              </w:rPr>
              <w:t>运营期环境影响和保护措施</w:t>
            </w:r>
            <w:bookmarkEnd w:id="177"/>
          </w:p>
        </w:tc>
        <w:tc>
          <w:tcPr>
            <w:tcW w:w="8126" w:type="dxa"/>
            <w:vAlign w:val="center"/>
          </w:tcPr>
          <w:p w14:paraId="67B3B4FD">
            <w:pPr>
              <w:pStyle w:val="3"/>
              <w:ind w:firstLine="482"/>
              <w:rPr>
                <w:b/>
                <w:bCs/>
                <w:color w:val="auto"/>
              </w:rPr>
            </w:pPr>
            <w:r>
              <w:rPr>
                <w:rFonts w:hint="eastAsia"/>
                <w:b/>
                <w:bCs/>
                <w:color w:val="auto"/>
              </w:rPr>
              <w:t>2、污染源强核算过程</w:t>
            </w:r>
          </w:p>
          <w:p w14:paraId="73AFE4B7">
            <w:pPr>
              <w:pStyle w:val="3"/>
              <w:ind w:firstLine="482"/>
              <w:rPr>
                <w:b/>
                <w:bCs/>
                <w:color w:val="auto"/>
              </w:rPr>
            </w:pPr>
            <w:bookmarkStart w:id="178" w:name="OLE_LINK91"/>
            <w:r>
              <w:rPr>
                <w:rFonts w:hint="eastAsia"/>
                <w:b/>
                <w:bCs/>
                <w:color w:val="auto"/>
              </w:rPr>
              <w:t>1）有组织废气</w:t>
            </w:r>
            <w:bookmarkEnd w:id="178"/>
          </w:p>
          <w:p w14:paraId="7ABCEADB">
            <w:pPr>
              <w:pStyle w:val="3"/>
              <w:ind w:firstLine="480"/>
              <w:rPr>
                <w:color w:val="auto"/>
              </w:rPr>
            </w:pPr>
            <w:r>
              <w:rPr>
                <w:rFonts w:hint="eastAsia"/>
                <w:color w:val="auto"/>
              </w:rPr>
              <w:t>本项目有组织废气为</w:t>
            </w:r>
            <w:bookmarkStart w:id="179" w:name="OLE_LINK229"/>
            <w:bookmarkStart w:id="180" w:name="OLE_LINK230"/>
            <w:r>
              <w:rPr>
                <w:rFonts w:hint="eastAsia"/>
                <w:color w:val="auto"/>
              </w:rPr>
              <w:t>生物质锅炉燃烧废气</w:t>
            </w:r>
            <w:bookmarkEnd w:id="179"/>
            <w:r>
              <w:rPr>
                <w:rFonts w:hint="eastAsia"/>
                <w:color w:val="auto"/>
              </w:rPr>
              <w:t>（G1）</w:t>
            </w:r>
            <w:bookmarkEnd w:id="180"/>
            <w:r>
              <w:rPr>
                <w:rFonts w:hint="eastAsia"/>
                <w:color w:val="auto"/>
              </w:rPr>
              <w:t>，污染因子为颗粒物、二氧化硫、氮氧化物。</w:t>
            </w:r>
            <w:bookmarkStart w:id="181" w:name="OLE_LINK67"/>
            <w:r>
              <w:rPr>
                <w:rFonts w:hint="eastAsia"/>
                <w:color w:val="auto"/>
              </w:rPr>
              <w:t>燃烧废气采用</w:t>
            </w:r>
            <w:bookmarkStart w:id="182" w:name="OLE_LINK227"/>
            <w:r>
              <w:rPr>
                <w:rFonts w:hint="eastAsia"/>
                <w:color w:val="auto"/>
              </w:rPr>
              <w:t>“低氮燃烧+多管旋风除尘+布袋除尘”处理达标后，由1根45m高的排气筒排放</w:t>
            </w:r>
            <w:bookmarkEnd w:id="182"/>
            <w:r>
              <w:rPr>
                <w:rFonts w:hint="eastAsia"/>
                <w:color w:val="auto"/>
              </w:rPr>
              <w:t>。</w:t>
            </w:r>
            <w:bookmarkEnd w:id="181"/>
          </w:p>
          <w:p w14:paraId="0EF9545A">
            <w:pPr>
              <w:pStyle w:val="3"/>
              <w:ind w:firstLine="480"/>
              <w:rPr>
                <w:color w:val="auto"/>
              </w:rPr>
            </w:pPr>
            <w:bookmarkStart w:id="183" w:name="OLE_LINK130"/>
            <w:r>
              <w:rPr>
                <w:rFonts w:hint="eastAsia"/>
                <w:color w:val="auto"/>
              </w:rPr>
              <w:t>根据《排放源统计调查产排污核算方法和系数手册》（2021.6.9）中第4430工业锅炉（热力生产和供应行业）产排污系数如下表所示：</w:t>
            </w:r>
          </w:p>
          <w:p w14:paraId="3FFAFB28">
            <w:pPr>
              <w:pStyle w:val="49"/>
              <w:rPr>
                <w:color w:val="auto"/>
              </w:rPr>
            </w:pPr>
            <w:r>
              <w:rPr>
                <w:rFonts w:hint="eastAsia"/>
                <w:color w:val="auto"/>
              </w:rPr>
              <w:t xml:space="preserve">表4- </w:t>
            </w:r>
            <w:r>
              <w:rPr>
                <w:color w:val="auto"/>
              </w:rPr>
              <w:t>3</w:t>
            </w:r>
            <w:r>
              <w:rPr>
                <w:rFonts w:hint="eastAsia"/>
                <w:color w:val="auto"/>
              </w:rPr>
              <w:t>：排放源统计调查产排污核算方法和系数手册（节选）</w:t>
            </w:r>
          </w:p>
          <w:p w14:paraId="447488B8">
            <w:pPr>
              <w:pStyle w:val="51"/>
              <w:rPr>
                <w:color w:val="auto"/>
              </w:rPr>
            </w:pPr>
            <w:r>
              <w:rPr>
                <w:color w:val="auto"/>
                <w14:ligatures w14:val="none"/>
              </w:rPr>
              <mc:AlternateContent>
                <mc:Choice Requires="wps">
                  <w:drawing>
                    <wp:anchor distT="0" distB="0" distL="114300" distR="114300" simplePos="0" relativeHeight="251665408" behindDoc="0" locked="0" layoutInCell="1" allowOverlap="1">
                      <wp:simplePos x="0" y="0"/>
                      <wp:positionH relativeFrom="column">
                        <wp:posOffset>2887345</wp:posOffset>
                      </wp:positionH>
                      <wp:positionV relativeFrom="paragraph">
                        <wp:posOffset>2218690</wp:posOffset>
                      </wp:positionV>
                      <wp:extent cx="1168400" cy="0"/>
                      <wp:effectExtent l="0" t="0" r="0" b="0"/>
                      <wp:wrapNone/>
                      <wp:docPr id="779988296" name="直接连接符 6"/>
                      <wp:cNvGraphicFramePr/>
                      <a:graphic xmlns:a="http://schemas.openxmlformats.org/drawingml/2006/main">
                        <a:graphicData uri="http://schemas.microsoft.com/office/word/2010/wordprocessingShape">
                          <wps:wsp>
                            <wps:cNvCnPr/>
                            <wps:spPr>
                              <a:xfrm>
                                <a:off x="0" y="0"/>
                                <a:ext cx="116840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6" o:spid="_x0000_s1026" o:spt="20" style="position:absolute;left:0pt;margin-left:227.35pt;margin-top:174.7pt;height:0pt;width:92pt;z-index:251665408;mso-width-relative:page;mso-height-relative:page;" filled="f" stroked="t" coordsize="21600,21600" o:gfxdata="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t8Rq&#10;89UAAAALAQAADwAAAAAAAAABACAAAAAiAAAAZHJzL2Rvd25yZXYueG1sUEsBAhQAFAAAAAgAh07i&#10;QHuQYWHsAQAAuQMAAA4AAAAAAAAAAQAgAAAAJAEAAGRycy9lMm9Eb2MueG1sUEsFBgAAAAAGAAYA&#10;WQEAAIIFAAAAAA==&#10;">
                      <v:fill on="f" focussize="0,0"/>
                      <v:stroke weight="0.5pt" color="#FF0000 [3204]" miterlimit="8" joinstyle="miter"/>
                      <v:imagedata o:title=""/>
                      <o:lock v:ext="edit" aspectratio="f"/>
                    </v:line>
                  </w:pict>
                </mc:Fallback>
              </mc:AlternateContent>
            </w:r>
            <w:r>
              <w:rPr>
                <w:color w:val="auto"/>
                <w14:ligatures w14:val="none"/>
              </w:rPr>
              <mc:AlternateContent>
                <mc:Choice Requires="wps">
                  <w:drawing>
                    <wp:anchor distT="0" distB="0" distL="114300" distR="114300" simplePos="0" relativeHeight="251664384" behindDoc="0" locked="0" layoutInCell="1" allowOverlap="1">
                      <wp:simplePos x="0" y="0"/>
                      <wp:positionH relativeFrom="column">
                        <wp:posOffset>1661795</wp:posOffset>
                      </wp:positionH>
                      <wp:positionV relativeFrom="paragraph">
                        <wp:posOffset>2485390</wp:posOffset>
                      </wp:positionV>
                      <wp:extent cx="1136650" cy="0"/>
                      <wp:effectExtent l="0" t="0" r="0" b="0"/>
                      <wp:wrapNone/>
                      <wp:docPr id="2043789286" name="直接连接符 5"/>
                      <wp:cNvGraphicFramePr/>
                      <a:graphic xmlns:a="http://schemas.openxmlformats.org/drawingml/2006/main">
                        <a:graphicData uri="http://schemas.microsoft.com/office/word/2010/wordprocessingShape">
                          <wps:wsp>
                            <wps:cNvCnPr/>
                            <wps:spPr>
                              <a:xfrm>
                                <a:off x="0" y="0"/>
                                <a:ext cx="113665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5" o:spid="_x0000_s1026" o:spt="20" style="position:absolute;left:0pt;margin-left:130.85pt;margin-top:195.7pt;height:0pt;width:89.5pt;z-index:251664384;mso-width-relative:page;mso-height-relative:page;" filled="f" stroked="t" coordsize="21600,21600" o:gfxdata="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NU&#10;OwXVAAAACwEAAA8AAAAAAAAAAQAgAAAAIgAAAGRycy9kb3ducmV2LnhtbFBLAQIUABQAAAAIAIdO&#10;4kB4yT6U7QEAALoDAAAOAAAAAAAAAAEAIAAAACQBAABkcnMvZTJvRG9jLnhtbFBLBQYAAAAABgAG&#10;AFkBAACDBQAAAAA=&#10;">
                      <v:fill on="f" focussize="0,0"/>
                      <v:stroke weight="0.5pt" color="#FF0000 [3204]" miterlimit="8" joinstyle="miter"/>
                      <v:imagedata o:title=""/>
                      <o:lock v:ext="edit" aspectratio="f"/>
                    </v:line>
                  </w:pict>
                </mc:Fallback>
              </mc:AlternateContent>
            </w:r>
            <w:r>
              <w:rPr>
                <w:color w:val="auto"/>
                <w14:ligatures w14:val="none"/>
              </w:rPr>
              <mc:AlternateContent>
                <mc:Choice Requires="wps">
                  <w:drawing>
                    <wp:anchor distT="0" distB="0" distL="114300" distR="114300" simplePos="0" relativeHeight="251663360" behindDoc="0" locked="0" layoutInCell="1" allowOverlap="1">
                      <wp:simplePos x="0" y="0"/>
                      <wp:positionH relativeFrom="column">
                        <wp:posOffset>2842895</wp:posOffset>
                      </wp:positionH>
                      <wp:positionV relativeFrom="paragraph">
                        <wp:posOffset>1837690</wp:posOffset>
                      </wp:positionV>
                      <wp:extent cx="1212850" cy="0"/>
                      <wp:effectExtent l="0" t="0" r="0" b="0"/>
                      <wp:wrapNone/>
                      <wp:docPr id="864344069" name="直接连接符 4"/>
                      <wp:cNvGraphicFramePr/>
                      <a:graphic xmlns:a="http://schemas.openxmlformats.org/drawingml/2006/main">
                        <a:graphicData uri="http://schemas.microsoft.com/office/word/2010/wordprocessingShape">
                          <wps:wsp>
                            <wps:cNvCnPr/>
                            <wps:spPr>
                              <a:xfrm>
                                <a:off x="0" y="0"/>
                                <a:ext cx="121285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4" o:spid="_x0000_s1026" o:spt="20" style="position:absolute;left:0pt;margin-left:223.85pt;margin-top:144.7pt;height:0pt;width:95.5pt;z-index:251663360;mso-width-relative:page;mso-height-relative:page;" filled="f" stroked="t" coordsize="21600,21600" o:gfxdata="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OCx&#10;uQLWAAAACwEAAA8AAAAAAAAAAQAgAAAAIgAAAGRycy9kb3ducmV2LnhtbFBLAQIUABQAAAAIAIdO&#10;4kBrMSOa7AEAALkDAAAOAAAAAAAAAAEAIAAAACUBAABkcnMvZTJvRG9jLnhtbFBLBQYAAAAABgAG&#10;AFkBAACDBQAAAAA=&#10;">
                      <v:fill on="f" focussize="0,0"/>
                      <v:stroke weight="0.5pt" color="#FF0000 [3204]" miterlimit="8" joinstyle="miter"/>
                      <v:imagedata o:title=""/>
                      <o:lock v:ext="edit" aspectratio="f"/>
                    </v:line>
                  </w:pict>
                </mc:Fallback>
              </mc:AlternateContent>
            </w:r>
            <w:r>
              <w:rPr>
                <w:color w:val="auto"/>
                <w14:ligatures w14:val="none"/>
              </w:rPr>
              <mc:AlternateContent>
                <mc:Choice Requires="wps">
                  <w:drawing>
                    <wp:anchor distT="0" distB="0" distL="114300" distR="114300" simplePos="0" relativeHeight="251662336" behindDoc="0" locked="0" layoutInCell="1" allowOverlap="1">
                      <wp:simplePos x="0" y="0"/>
                      <wp:positionH relativeFrom="column">
                        <wp:posOffset>2884805</wp:posOffset>
                      </wp:positionH>
                      <wp:positionV relativeFrom="paragraph">
                        <wp:posOffset>1336040</wp:posOffset>
                      </wp:positionV>
                      <wp:extent cx="1168400" cy="0"/>
                      <wp:effectExtent l="0" t="0" r="0" b="0"/>
                      <wp:wrapNone/>
                      <wp:docPr id="469788661" name="直接连接符 3"/>
                      <wp:cNvGraphicFramePr/>
                      <a:graphic xmlns:a="http://schemas.openxmlformats.org/drawingml/2006/main">
                        <a:graphicData uri="http://schemas.microsoft.com/office/word/2010/wordprocessingShape">
                          <wps:wsp>
                            <wps:cNvCnPr/>
                            <wps:spPr>
                              <a:xfrm>
                                <a:off x="0" y="0"/>
                                <a:ext cx="116840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3" o:spid="_x0000_s1026" o:spt="20" style="position:absolute;left:0pt;margin-left:227.15pt;margin-top:105.2pt;height:0pt;width:92pt;z-index:251662336;mso-width-relative:page;mso-height-relative:page;" filled="f" stroked="t" coordsize="21600,21600" o:gfxdata="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KDg&#10;LInWAAAACwEAAA8AAAAAAAAAAQAgAAAAIgAAAGRycy9kb3ducmV2LnhtbFBLAQIUABQAAAAIAIdO&#10;4kDndSkr7AEAALkDAAAOAAAAAAAAAAEAIAAAACUBAABkcnMvZTJvRG9jLnhtbFBLBQYAAAAABgAG&#10;AFkBAACDBQAAAAA=&#10;">
                      <v:fill on="f" focussize="0,0"/>
                      <v:stroke weight="0.5pt" color="#FF0000 [3204]" miterlimit="8" joinstyle="miter"/>
                      <v:imagedata o:title=""/>
                      <o:lock v:ext="edit" aspectratio="f"/>
                    </v:line>
                  </w:pict>
                </mc:Fallback>
              </mc:AlternateContent>
            </w:r>
            <w:r>
              <w:rPr>
                <w:color w:val="auto"/>
                <w14:ligatures w14:val="none"/>
              </w:rPr>
              <mc:AlternateContent>
                <mc:Choice Requires="wps">
                  <w:drawing>
                    <wp:anchor distT="0" distB="0" distL="114300" distR="114300" simplePos="0" relativeHeight="251661312" behindDoc="0" locked="0" layoutInCell="1" allowOverlap="1">
                      <wp:simplePos x="0" y="0"/>
                      <wp:positionH relativeFrom="column">
                        <wp:posOffset>1661795</wp:posOffset>
                      </wp:positionH>
                      <wp:positionV relativeFrom="paragraph">
                        <wp:posOffset>1615440</wp:posOffset>
                      </wp:positionV>
                      <wp:extent cx="1136650" cy="0"/>
                      <wp:effectExtent l="0" t="0" r="0" b="0"/>
                      <wp:wrapNone/>
                      <wp:docPr id="673296695" name="直接连接符 2"/>
                      <wp:cNvGraphicFramePr/>
                      <a:graphic xmlns:a="http://schemas.openxmlformats.org/drawingml/2006/main">
                        <a:graphicData uri="http://schemas.microsoft.com/office/word/2010/wordprocessingShape">
                          <wps:wsp>
                            <wps:cNvCnPr/>
                            <wps:spPr>
                              <a:xfrm>
                                <a:off x="0" y="0"/>
                                <a:ext cx="113665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2" o:spid="_x0000_s1026" o:spt="20" style="position:absolute;left:0pt;margin-left:130.85pt;margin-top:127.2pt;height:0pt;width:89.5pt;z-index:251661312;mso-width-relative:page;mso-height-relative:page;" filled="f" stroked="t" coordsize="21600,21600" o:gfxdata="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kQBg&#10;j9UAAAALAQAADwAAAAAAAAABACAAAAAiAAAAZHJzL2Rvd25yZXYueG1sUEsBAhQAFAAAAAgAh07i&#10;QL4f5LDsAQAAuQMAAA4AAAAAAAAAAQAgAAAAJAEAAGRycy9lMm9Eb2MueG1sUEsFBgAAAAAGAAYA&#10;WQEAAIIFAAAAAA==&#10;">
                      <v:fill on="f" focussize="0,0"/>
                      <v:stroke weight="0.5pt" color="#FF0000 [3204]" miterlimit="8" joinstyle="miter"/>
                      <v:imagedata o:title=""/>
                      <o:lock v:ext="edit" aspectratio="f"/>
                    </v:line>
                  </w:pict>
                </mc:Fallback>
              </mc:AlternateContent>
            </w:r>
            <w:r>
              <w:rPr>
                <w:color w:val="auto"/>
                <w14:ligatures w14:val="none"/>
              </w:rPr>
              <mc:AlternateContent>
                <mc:Choice Requires="wps">
                  <w:drawing>
                    <wp:anchor distT="0" distB="0" distL="114300" distR="114300" simplePos="0" relativeHeight="251660288" behindDoc="0" locked="0" layoutInCell="1" allowOverlap="1">
                      <wp:simplePos x="0" y="0"/>
                      <wp:positionH relativeFrom="column">
                        <wp:posOffset>1661795</wp:posOffset>
                      </wp:positionH>
                      <wp:positionV relativeFrom="paragraph">
                        <wp:posOffset>948690</wp:posOffset>
                      </wp:positionV>
                      <wp:extent cx="3244850" cy="0"/>
                      <wp:effectExtent l="0" t="0" r="0" b="0"/>
                      <wp:wrapNone/>
                      <wp:docPr id="443675022" name="直接连接符 1"/>
                      <wp:cNvGraphicFramePr/>
                      <a:graphic xmlns:a="http://schemas.openxmlformats.org/drawingml/2006/main">
                        <a:graphicData uri="http://schemas.microsoft.com/office/word/2010/wordprocessingShape">
                          <wps:wsp>
                            <wps:cNvCnPr/>
                            <wps:spPr>
                              <a:xfrm>
                                <a:off x="0" y="0"/>
                                <a:ext cx="324485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1" o:spid="_x0000_s1026" o:spt="20" style="position:absolute;left:0pt;margin-left:130.85pt;margin-top:74.7pt;height:0pt;width:255.5pt;z-index:251660288;mso-width-relative:page;mso-height-relative:page;" filled="f" stroked="t" coordsize="21600,21600" o:gfxdata="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38d5&#10;C9UAAAALAQAADwAAAAAAAAABACAAAAAiAAAAZHJzL2Rvd25yZXYueG1sUEsBAhQAFAAAAAgAh07i&#10;QAtqTY3sAQAAuQMAAA4AAAAAAAAAAQAgAAAAJAEAAGRycy9lMm9Eb2MueG1sUEsFBgAAAAAGAAYA&#10;WQEAAIIFAAAAAA==&#10;">
                      <v:fill on="f" focussize="0,0"/>
                      <v:stroke weight="0.5pt" color="#FF0000 [3204]" miterlimit="8" joinstyle="miter"/>
                      <v:imagedata o:title=""/>
                      <o:lock v:ext="edit" aspectratio="f"/>
                    </v:line>
                  </w:pict>
                </mc:Fallback>
              </mc:AlternateContent>
            </w:r>
            <w:r>
              <w:rPr>
                <w:color w:val="auto"/>
                <w14:ligatures w14:val="none"/>
              </w:rPr>
              <mc:AlternateContent>
                <mc:Choice Requires="wps">
                  <w:drawing>
                    <wp:anchor distT="0" distB="0" distL="114300" distR="114300" simplePos="0" relativeHeight="251659264" behindDoc="0" locked="0" layoutInCell="1" allowOverlap="1">
                      <wp:simplePos x="0" y="0"/>
                      <wp:positionH relativeFrom="column">
                        <wp:posOffset>1661795</wp:posOffset>
                      </wp:positionH>
                      <wp:positionV relativeFrom="paragraph">
                        <wp:posOffset>745490</wp:posOffset>
                      </wp:positionV>
                      <wp:extent cx="3244850" cy="0"/>
                      <wp:effectExtent l="0" t="0" r="0" b="0"/>
                      <wp:wrapNone/>
                      <wp:docPr id="705810598" name="直接连接符 1"/>
                      <wp:cNvGraphicFramePr/>
                      <a:graphic xmlns:a="http://schemas.openxmlformats.org/drawingml/2006/main">
                        <a:graphicData uri="http://schemas.microsoft.com/office/word/2010/wordprocessingShape">
                          <wps:wsp>
                            <wps:cNvCnPr/>
                            <wps:spPr>
                              <a:xfrm>
                                <a:off x="0" y="0"/>
                                <a:ext cx="324485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1" o:spid="_x0000_s1026" o:spt="20" style="position:absolute;left:0pt;margin-left:130.85pt;margin-top:58.7pt;height:0pt;width:255.5pt;z-index:251659264;mso-width-relative:page;mso-height-relative:page;" filled="f" stroked="t" coordsize="21600,21600" o:gfxdata="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idLP&#10;HNQAAAALAQAADwAAAAAAAAABACAAAAAiAAAAZHJzL2Rvd25yZXYueG1sUEsBAhQAFAAAAAgAh07i&#10;QIkG7tjtAQAAuQMAAA4AAAAAAAAAAQAgAAAAIwEAAGRycy9lMm9Eb2MueG1sUEsFBgAAAAAGAAYA&#10;WQEAAIIFAAAAAA==&#10;">
                      <v:fill on="f" focussize="0,0"/>
                      <v:stroke weight="0.5pt" color="#FF0000 [3204]" miterlimit="8" joinstyle="miter"/>
                      <v:imagedata o:title=""/>
                      <o:lock v:ext="edit" aspectratio="f"/>
                    </v:line>
                  </w:pict>
                </mc:Fallback>
              </mc:AlternateContent>
            </w:r>
            <w:r>
              <w:rPr>
                <w:color w:val="auto"/>
              </w:rPr>
              <w:drawing>
                <wp:inline distT="0" distB="0" distL="0" distR="0">
                  <wp:extent cx="5039995" cy="2663825"/>
                  <wp:effectExtent l="0" t="0" r="8255" b="3175"/>
                  <wp:docPr id="14108640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864083" name="图片 1"/>
                          <pic:cNvPicPr>
                            <a:picLocks noChangeAspect="1"/>
                          </pic:cNvPicPr>
                        </pic:nvPicPr>
                        <pic:blipFill>
                          <a:blip r:embed="rId20"/>
                          <a:stretch>
                            <a:fillRect/>
                          </a:stretch>
                        </pic:blipFill>
                        <pic:spPr>
                          <a:xfrm>
                            <a:off x="0" y="0"/>
                            <a:ext cx="5040000" cy="2663878"/>
                          </a:xfrm>
                          <a:prstGeom prst="rect">
                            <a:avLst/>
                          </a:prstGeom>
                        </pic:spPr>
                      </pic:pic>
                    </a:graphicData>
                  </a:graphic>
                </wp:inline>
              </w:drawing>
            </w:r>
          </w:p>
          <w:p w14:paraId="2FA3D2E2">
            <w:pPr>
              <w:pStyle w:val="3"/>
              <w:ind w:firstLine="480"/>
              <w:rPr>
                <w:color w:val="auto"/>
              </w:rPr>
            </w:pPr>
            <w:r>
              <w:rPr>
                <w:rFonts w:hint="eastAsia"/>
                <w:color w:val="auto"/>
              </w:rPr>
              <w:t>注：①二氧化硫的产排污系数是以含硫量（S％）的形式表示的，其中含硫量（S％）是指生物质收到基硫分含量，以质量百分数的形式表示。例如生物质中含硫量（S％）为0.1％，则S=0.1。根据建设单位提供资料，本项目所使用的生物质成型颗粒，其含硫量取0.03%。</w:t>
            </w:r>
            <w:bookmarkStart w:id="184" w:name="OLE_LINK12"/>
          </w:p>
          <w:bookmarkEnd w:id="184"/>
          <w:p w14:paraId="32D30602">
            <w:pPr>
              <w:pStyle w:val="3"/>
              <w:ind w:firstLine="480"/>
              <w:rPr>
                <w:color w:val="auto"/>
              </w:rPr>
            </w:pPr>
            <w:r>
              <w:rPr>
                <w:rFonts w:hint="eastAsia"/>
                <w:color w:val="auto"/>
              </w:rPr>
              <w:t>本项目4台8t/h生物质锅炉（合计为32t/h）生物质颗粒燃料使用量为25344t/a，生物质颗粒的含硫量0.03%，锅炉年运行时间为3960小时，经计算，各污染物产生量如下：</w:t>
            </w:r>
          </w:p>
          <w:p w14:paraId="4DAF863B">
            <w:pPr>
              <w:pStyle w:val="3"/>
              <w:ind w:firstLine="480"/>
              <w:rPr>
                <w:color w:val="auto"/>
              </w:rPr>
            </w:pPr>
            <w:r>
              <w:rPr>
                <w:rFonts w:hint="eastAsia"/>
                <w:color w:val="auto"/>
              </w:rPr>
              <w:t>工业废气量：15814.66万m</w:t>
            </w:r>
            <w:r>
              <w:rPr>
                <w:rFonts w:hint="eastAsia"/>
                <w:color w:val="auto"/>
                <w:vertAlign w:val="superscript"/>
              </w:rPr>
              <w:t>3</w:t>
            </w:r>
            <w:r>
              <w:rPr>
                <w:rFonts w:hint="eastAsia"/>
                <w:color w:val="auto"/>
              </w:rPr>
              <w:t>/a，产生速率为39936m</w:t>
            </w:r>
            <w:r>
              <w:rPr>
                <w:rFonts w:hint="eastAsia"/>
                <w:color w:val="auto"/>
                <w:vertAlign w:val="superscript"/>
              </w:rPr>
              <w:t>3</w:t>
            </w:r>
            <w:r>
              <w:rPr>
                <w:rFonts w:hint="eastAsia"/>
                <w:color w:val="auto"/>
              </w:rPr>
              <w:t>/h；</w:t>
            </w:r>
          </w:p>
          <w:p w14:paraId="6ACD5175">
            <w:pPr>
              <w:pStyle w:val="3"/>
              <w:ind w:firstLine="480"/>
              <w:rPr>
                <w:color w:val="auto"/>
              </w:rPr>
            </w:pPr>
            <w:r>
              <w:rPr>
                <w:rFonts w:hint="eastAsia"/>
                <w:color w:val="auto"/>
              </w:rPr>
              <w:t>颗粒物产生量为12.672t/a，产生速率为3.200kg/h；</w:t>
            </w:r>
          </w:p>
          <w:p w14:paraId="0DE1AD50">
            <w:pPr>
              <w:pStyle w:val="3"/>
              <w:ind w:firstLine="480"/>
              <w:rPr>
                <w:color w:val="auto"/>
              </w:rPr>
            </w:pPr>
            <w:r>
              <w:rPr>
                <w:rFonts w:hint="eastAsia"/>
                <w:color w:val="auto"/>
              </w:rPr>
              <w:t>二氧化硫产生量为12.925 t/a，产生速率为3.264kg/h；</w:t>
            </w:r>
          </w:p>
          <w:p w14:paraId="6935BA6B">
            <w:pPr>
              <w:pStyle w:val="3"/>
              <w:ind w:firstLine="480"/>
              <w:rPr>
                <w:color w:val="auto"/>
              </w:rPr>
            </w:pPr>
            <w:r>
              <w:rPr>
                <w:rFonts w:hint="eastAsia"/>
                <w:color w:val="auto"/>
              </w:rPr>
              <w:t>氮氧化物产生量为25.851t/a，产生速率为6.528kg/h；</w:t>
            </w:r>
            <w:bookmarkStart w:id="185" w:name="OLE_LINK7"/>
          </w:p>
          <w:bookmarkEnd w:id="183"/>
          <w:bookmarkEnd w:id="185"/>
          <w:p w14:paraId="203068FD">
            <w:pPr>
              <w:pStyle w:val="3"/>
              <w:ind w:firstLine="480"/>
              <w:rPr>
                <w:color w:val="auto"/>
              </w:rPr>
            </w:pPr>
            <w:bookmarkStart w:id="186" w:name="无组织废气"/>
            <w:r>
              <w:rPr>
                <w:rFonts w:hint="eastAsia"/>
                <w:color w:val="auto"/>
              </w:rPr>
              <w:t>参照《排放源统计调查产排污核算方法和系数手册》（2021.6.9）中第4430 工业锅炉（热力生产和供应行业）中层燃炉-生物质燃料的去除效率，本次评价颗粒物去除效率取99%，氮氧化物去除效率取30%。</w:t>
            </w:r>
          </w:p>
          <w:p w14:paraId="01CF2A2E">
            <w:pPr>
              <w:pStyle w:val="3"/>
              <w:ind w:firstLine="480"/>
              <w:rPr>
                <w:color w:val="auto"/>
              </w:rPr>
            </w:pPr>
            <w:r>
              <w:rPr>
                <w:rFonts w:hint="eastAsia"/>
                <w:color w:val="auto"/>
              </w:rPr>
              <w:t>类比同类项目验收经验，本项目烟气黑度可达标排放。</w:t>
            </w:r>
          </w:p>
          <w:bookmarkEnd w:id="186"/>
          <w:p w14:paraId="67E163E6">
            <w:pPr>
              <w:pStyle w:val="3"/>
              <w:ind w:firstLine="482"/>
              <w:rPr>
                <w:b/>
                <w:bCs/>
                <w:color w:val="auto"/>
                <w:u w:val="single"/>
              </w:rPr>
            </w:pPr>
            <w:r>
              <w:rPr>
                <w:rFonts w:hint="eastAsia"/>
                <w:b/>
                <w:bCs/>
                <w:color w:val="auto"/>
                <w:u w:val="single"/>
              </w:rPr>
              <w:t>2）无组织废气</w:t>
            </w:r>
          </w:p>
          <w:p w14:paraId="4ECAC3D2">
            <w:pPr>
              <w:pStyle w:val="3"/>
              <w:ind w:firstLine="480"/>
              <w:rPr>
                <w:color w:val="auto"/>
                <w:u w:val="single"/>
              </w:rPr>
            </w:pPr>
            <w:r>
              <w:rPr>
                <w:rFonts w:hint="eastAsia"/>
                <w:color w:val="auto"/>
                <w:u w:val="single"/>
              </w:rPr>
              <w:t>本项目采用生物质成型颗粒，产生的无组织粉尘可忽略不计，本次评价不予考虑。</w:t>
            </w:r>
          </w:p>
          <w:p w14:paraId="4EA15BA6">
            <w:pPr>
              <w:pStyle w:val="49"/>
              <w:rPr>
                <w:color w:val="auto"/>
              </w:rPr>
            </w:pPr>
            <w:bookmarkStart w:id="187" w:name="OLE_LINK228"/>
            <w:bookmarkStart w:id="188" w:name="_Ref186122705"/>
            <w:bookmarkStart w:id="189" w:name="_Ref176880499"/>
            <w:r>
              <w:rPr>
                <w:rFonts w:hint="eastAsia"/>
                <w:color w:val="auto"/>
              </w:rPr>
              <w:t xml:space="preserve">表4- </w:t>
            </w:r>
            <w:r>
              <w:rPr>
                <w:color w:val="auto"/>
              </w:rPr>
              <w:t>4</w:t>
            </w:r>
            <w:r>
              <w:rPr>
                <w:rFonts w:hint="eastAsia"/>
                <w:color w:val="auto"/>
              </w:rPr>
              <w:t>：</w:t>
            </w:r>
            <w:bookmarkEnd w:id="187"/>
            <w:r>
              <w:rPr>
                <w:rFonts w:hint="eastAsia"/>
                <w:color w:val="auto"/>
              </w:rPr>
              <w:t>大气污染物年排放量核算表</w:t>
            </w:r>
            <w:bookmarkEnd w:id="188"/>
            <w:bookmarkEnd w:id="189"/>
          </w:p>
          <w:tbl>
            <w:tblPr>
              <w:tblStyle w:val="50"/>
              <w:tblW w:w="793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622"/>
              <w:gridCol w:w="992"/>
              <w:gridCol w:w="4112"/>
              <w:gridCol w:w="992"/>
              <w:gridCol w:w="1220"/>
            </w:tblGrid>
            <w:tr w14:paraId="505F9D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92" w:type="pct"/>
                  <w:tcBorders>
                    <w:top w:val="single" w:color="auto" w:sz="12" w:space="0"/>
                    <w:left w:val="nil"/>
                    <w:bottom w:val="single" w:color="auto" w:sz="12" w:space="0"/>
                    <w:right w:val="single" w:color="auto" w:sz="4" w:space="0"/>
                    <w:insideH w:val="single" w:sz="12" w:space="0"/>
                    <w:insideV w:val="single" w:sz="4" w:space="0"/>
                    <w:tl2br w:val="nil"/>
                    <w:tr2bl w:val="nil"/>
                  </w:tcBorders>
                  <w:vAlign w:val="center"/>
                </w:tcPr>
                <w:p w14:paraId="19DFCDCC">
                  <w:pPr>
                    <w:keepLines w:val="0"/>
                    <w:widowControl w:val="0"/>
                    <w:suppressLineNumbers w:val="0"/>
                    <w:suppressAutoHyphens w:val="0"/>
                    <w:wordWrap/>
                    <w:overflowPunct w:val="0"/>
                    <w:topLinePunct w:val="0"/>
                    <w:autoSpaceDE w:val="0"/>
                    <w:autoSpaceDN w:val="0"/>
                    <w:adjustRightInd w:val="0"/>
                    <w:snapToGrid w:val="0"/>
                    <w:spacing w:before="24" w:after="24" w:line="240" w:lineRule="auto"/>
                    <w:ind w:left="0" w:leftChars="0" w:right="0" w:rightChars="0" w:firstLine="0" w:firstLineChars="0"/>
                    <w:jc w:val="center"/>
                    <w:outlineLvl w:val="9"/>
                    <w:rPr>
                      <w:rFonts w:hint="default" w:ascii="Times New Roman" w:hAnsi="Times New Roman" w:eastAsia="宋体" w:cs="Times New Roman"/>
                      <w:b/>
                      <w:i w:val="0"/>
                      <w:color w:val="auto"/>
                      <w:sz w:val="21"/>
                      <w:szCs w:val="21"/>
                      <w14:ligatures w14:val="standardContextual"/>
                    </w:rPr>
                  </w:pPr>
                  <w:r>
                    <w:rPr>
                      <w:rFonts w:hint="default" w:ascii="Times New Roman" w:hAnsi="Times New Roman" w:eastAsia="宋体" w:cs="Times New Roman"/>
                      <w:b/>
                      <w:i w:val="0"/>
                      <w:color w:val="auto"/>
                      <w:sz w:val="21"/>
                      <w:szCs w:val="21"/>
                      <w14:ligatures w14:val="standardContextual"/>
                    </w:rPr>
                    <w:t>序号</w:t>
                  </w:r>
                </w:p>
              </w:tc>
              <w:tc>
                <w:tcPr>
                  <w:tcW w:w="625"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39E6C255">
                  <w:pPr>
                    <w:keepLines w:val="0"/>
                    <w:widowControl w:val="0"/>
                    <w:suppressLineNumbers w:val="0"/>
                    <w:suppressAutoHyphens w:val="0"/>
                    <w:wordWrap/>
                    <w:overflowPunct w:val="0"/>
                    <w:topLinePunct w:val="0"/>
                    <w:autoSpaceDE w:val="0"/>
                    <w:autoSpaceDN w:val="0"/>
                    <w:adjustRightInd w:val="0"/>
                    <w:snapToGrid w:val="0"/>
                    <w:spacing w:before="24" w:after="24" w:line="240" w:lineRule="auto"/>
                    <w:ind w:left="0" w:leftChars="0" w:right="0" w:rightChars="0" w:firstLine="0" w:firstLineChars="0"/>
                    <w:jc w:val="center"/>
                    <w:outlineLvl w:val="9"/>
                    <w:rPr>
                      <w:rFonts w:hint="default" w:ascii="Times New Roman" w:hAnsi="Times New Roman" w:eastAsia="宋体" w:cs="Times New Roman"/>
                      <w:b/>
                      <w:i w:val="0"/>
                      <w:color w:val="auto"/>
                      <w:sz w:val="21"/>
                      <w:szCs w:val="21"/>
                      <w14:ligatures w14:val="standardContextual"/>
                    </w:rPr>
                  </w:pPr>
                  <w:r>
                    <w:rPr>
                      <w:rFonts w:hint="default" w:ascii="Times New Roman" w:hAnsi="Times New Roman" w:eastAsia="宋体" w:cs="Times New Roman"/>
                      <w:b/>
                      <w:i w:val="0"/>
                      <w:color w:val="auto"/>
                      <w:sz w:val="21"/>
                      <w:szCs w:val="21"/>
                      <w14:ligatures w14:val="standardContextual"/>
                    </w:rPr>
                    <w:t>污染物</w:t>
                  </w:r>
                </w:p>
              </w:tc>
              <w:tc>
                <w:tcPr>
                  <w:tcW w:w="2590"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71E7A8CF">
                  <w:pPr>
                    <w:keepLines w:val="0"/>
                    <w:widowControl w:val="0"/>
                    <w:suppressLineNumbers w:val="0"/>
                    <w:suppressAutoHyphens w:val="0"/>
                    <w:wordWrap/>
                    <w:overflowPunct w:val="0"/>
                    <w:topLinePunct w:val="0"/>
                    <w:autoSpaceDE w:val="0"/>
                    <w:autoSpaceDN w:val="0"/>
                    <w:adjustRightInd w:val="0"/>
                    <w:snapToGrid w:val="0"/>
                    <w:spacing w:before="24" w:after="24" w:line="240" w:lineRule="auto"/>
                    <w:ind w:left="0" w:leftChars="0" w:right="0" w:rightChars="0" w:firstLine="0" w:firstLineChars="0"/>
                    <w:jc w:val="center"/>
                    <w:outlineLvl w:val="9"/>
                    <w:rPr>
                      <w:rFonts w:hint="default" w:ascii="Times New Roman" w:hAnsi="Times New Roman" w:eastAsia="宋体" w:cs="Times New Roman"/>
                      <w:b w:val="0"/>
                      <w:i w:val="0"/>
                      <w:color w:val="auto"/>
                      <w:sz w:val="21"/>
                      <w:szCs w:val="21"/>
                      <w14:ligatures w14:val="standardContextual"/>
                    </w:rPr>
                  </w:pPr>
                  <w:r>
                    <w:rPr>
                      <w:rFonts w:hint="eastAsia" w:ascii="Times New Roman" w:hAnsi="Times New Roman" w:eastAsia="宋体" w:cs="Times New Roman"/>
                      <w:b/>
                      <w:i w:val="0"/>
                      <w:color w:val="auto"/>
                      <w:sz w:val="21"/>
                      <w:szCs w:val="21"/>
                      <w14:ligatures w14:val="standardContextual"/>
                    </w:rPr>
                    <w:t>排放工序</w:t>
                  </w:r>
                </w:p>
              </w:tc>
              <w:tc>
                <w:tcPr>
                  <w:tcW w:w="625"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4663A07D">
                  <w:pPr>
                    <w:keepLines w:val="0"/>
                    <w:widowControl w:val="0"/>
                    <w:suppressLineNumbers w:val="0"/>
                    <w:suppressAutoHyphens w:val="0"/>
                    <w:wordWrap/>
                    <w:overflowPunct w:val="0"/>
                    <w:topLinePunct w:val="0"/>
                    <w:autoSpaceDE w:val="0"/>
                    <w:autoSpaceDN w:val="0"/>
                    <w:adjustRightInd w:val="0"/>
                    <w:snapToGrid w:val="0"/>
                    <w:spacing w:before="24" w:after="24" w:line="240" w:lineRule="auto"/>
                    <w:ind w:left="0" w:leftChars="0" w:right="0" w:rightChars="0" w:firstLine="0" w:firstLineChars="0"/>
                    <w:jc w:val="center"/>
                    <w:outlineLvl w:val="9"/>
                    <w:rPr>
                      <w:rFonts w:hint="default" w:ascii="Times New Roman" w:hAnsi="Times New Roman" w:eastAsia="宋体" w:cs="Times New Roman"/>
                      <w:b/>
                      <w:i w:val="0"/>
                      <w:color w:val="auto"/>
                      <w:sz w:val="21"/>
                      <w:szCs w:val="21"/>
                      <w14:ligatures w14:val="standardContextual"/>
                    </w:rPr>
                  </w:pPr>
                  <w:r>
                    <w:rPr>
                      <w:rFonts w:hint="default" w:ascii="Times New Roman" w:hAnsi="Times New Roman" w:eastAsia="宋体" w:cs="Times New Roman"/>
                      <w:b/>
                      <w:i w:val="0"/>
                      <w:color w:val="auto"/>
                      <w:sz w:val="21"/>
                      <w:szCs w:val="21"/>
                      <w14:ligatures w14:val="standardContextual"/>
                    </w:rPr>
                    <w:t>年排放量</w:t>
                  </w:r>
                  <w:r>
                    <w:rPr>
                      <w:rFonts w:hint="eastAsia" w:ascii="Times New Roman" w:hAnsi="Times New Roman" w:eastAsia="宋体" w:cs="Times New Roman"/>
                      <w:b/>
                      <w:i w:val="0"/>
                      <w:color w:val="auto"/>
                      <w:sz w:val="21"/>
                      <w:szCs w:val="21"/>
                      <w14:ligatures w14:val="standardContextual"/>
                    </w:rPr>
                    <w:t>（t/a）</w:t>
                  </w:r>
                </w:p>
              </w:tc>
              <w:tc>
                <w:tcPr>
                  <w:tcW w:w="768" w:type="pct"/>
                  <w:tcBorders>
                    <w:top w:val="single" w:color="auto" w:sz="12" w:space="0"/>
                    <w:bottom w:val="single" w:color="auto" w:sz="12" w:space="0"/>
                    <w:right w:val="nil"/>
                    <w:insideH w:val="single" w:sz="12" w:space="0"/>
                    <w:insideV w:val="single" w:sz="4" w:space="0"/>
                    <w:tl2br w:val="nil"/>
                    <w:tr2bl w:val="nil"/>
                  </w:tcBorders>
                  <w:vAlign w:val="center"/>
                </w:tcPr>
                <w:p w14:paraId="64BA0BB2">
                  <w:pPr>
                    <w:keepLines w:val="0"/>
                    <w:widowControl w:val="0"/>
                    <w:suppressLineNumbers w:val="0"/>
                    <w:suppressAutoHyphens w:val="0"/>
                    <w:wordWrap/>
                    <w:overflowPunct w:val="0"/>
                    <w:topLinePunct w:val="0"/>
                    <w:autoSpaceDE w:val="0"/>
                    <w:autoSpaceDN w:val="0"/>
                    <w:adjustRightInd w:val="0"/>
                    <w:snapToGrid w:val="0"/>
                    <w:spacing w:before="24" w:after="24" w:line="240" w:lineRule="auto"/>
                    <w:ind w:left="0" w:leftChars="0" w:right="0" w:rightChars="0" w:firstLine="0" w:firstLineChars="0"/>
                    <w:jc w:val="center"/>
                    <w:outlineLvl w:val="9"/>
                    <w:rPr>
                      <w:rFonts w:hint="default" w:ascii="Times New Roman" w:hAnsi="Times New Roman" w:eastAsia="宋体" w:cs="Times New Roman"/>
                      <w:b/>
                      <w:i w:val="0"/>
                      <w:color w:val="auto"/>
                      <w:sz w:val="21"/>
                      <w:szCs w:val="21"/>
                      <w14:ligatures w14:val="standardContextual"/>
                    </w:rPr>
                  </w:pPr>
                  <w:r>
                    <w:rPr>
                      <w:rFonts w:hint="eastAsia" w:ascii="Times New Roman" w:hAnsi="Times New Roman" w:eastAsia="宋体" w:cs="Times New Roman"/>
                      <w:b/>
                      <w:i w:val="0"/>
                      <w:color w:val="auto"/>
                      <w:sz w:val="21"/>
                      <w:szCs w:val="21"/>
                      <w14:ligatures w14:val="standardContextual"/>
                    </w:rPr>
                    <w:t>合计</w:t>
                  </w:r>
                  <w:r>
                    <w:rPr>
                      <w:rFonts w:hint="default" w:ascii="Times New Roman" w:hAnsi="Times New Roman" w:eastAsia="宋体" w:cs="Times New Roman"/>
                      <w:b/>
                      <w:i w:val="0"/>
                      <w:color w:val="auto"/>
                      <w:sz w:val="21"/>
                      <w:szCs w:val="21"/>
                      <w14:ligatures w14:val="standardContextual"/>
                    </w:rPr>
                    <w:t>排放量</w:t>
                  </w:r>
                  <w:r>
                    <w:rPr>
                      <w:rFonts w:hint="eastAsia" w:ascii="Times New Roman" w:hAnsi="Times New Roman" w:eastAsia="宋体" w:cs="Times New Roman"/>
                      <w:b/>
                      <w:i w:val="0"/>
                      <w:color w:val="auto"/>
                      <w:sz w:val="21"/>
                      <w:szCs w:val="21"/>
                      <w14:ligatures w14:val="standardContextual"/>
                    </w:rPr>
                    <w:t>（t/a）</w:t>
                  </w:r>
                </w:p>
              </w:tc>
            </w:tr>
            <w:tr w14:paraId="6433EC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92" w:type="pct"/>
                  <w:vAlign w:val="center"/>
                </w:tcPr>
                <w:p w14:paraId="7F1DCEAA">
                  <w:pPr>
                    <w:pStyle w:val="68"/>
                    <w:widowControl w:val="0"/>
                    <w:numPr>
                      <w:ilvl w:val="0"/>
                      <w:numId w:val="3"/>
                    </w:numPr>
                    <w:overflowPunct w:val="0"/>
                    <w:autoSpaceDE w:val="0"/>
                    <w:autoSpaceDN w:val="0"/>
                    <w:snapToGrid w:val="0"/>
                    <w:spacing w:before="24" w:after="24"/>
                    <w:ind w:firstLineChars="0"/>
                    <w:jc w:val="center"/>
                    <w:rPr>
                      <w:color w:val="auto"/>
                      <w14:ligatures w14:val="standardContextual"/>
                    </w:rPr>
                  </w:pPr>
                </w:p>
              </w:tc>
              <w:tc>
                <w:tcPr>
                  <w:tcW w:w="625" w:type="pct"/>
                  <w:vAlign w:val="center"/>
                </w:tcPr>
                <w:p w14:paraId="358E519C">
                  <w:pPr>
                    <w:widowControl w:val="0"/>
                    <w:overflowPunct w:val="0"/>
                    <w:autoSpaceDE w:val="0"/>
                    <w:autoSpaceDN w:val="0"/>
                    <w:snapToGrid w:val="0"/>
                    <w:spacing w:before="24" w:after="24"/>
                    <w:jc w:val="center"/>
                    <w:rPr>
                      <w:color w:val="auto"/>
                      <w14:ligatures w14:val="standardContextual"/>
                    </w:rPr>
                  </w:pPr>
                  <w:r>
                    <w:rPr>
                      <w:color w:val="auto"/>
                      <w14:ligatures w14:val="standardContextual"/>
                    </w:rPr>
                    <w:t>颗粒物</w:t>
                  </w:r>
                </w:p>
              </w:tc>
              <w:tc>
                <w:tcPr>
                  <w:tcW w:w="2590" w:type="pct"/>
                  <w:vAlign w:val="center"/>
                </w:tcPr>
                <w:p w14:paraId="66304FC5">
                  <w:pPr>
                    <w:widowControl w:val="0"/>
                    <w:overflowPunct w:val="0"/>
                    <w:autoSpaceDE w:val="0"/>
                    <w:autoSpaceDN w:val="0"/>
                    <w:snapToGrid w:val="0"/>
                    <w:jc w:val="center"/>
                    <w:rPr>
                      <w:color w:val="auto"/>
                      <w14:ligatures w14:val="standardContextual"/>
                    </w:rPr>
                  </w:pPr>
                  <w:bookmarkStart w:id="190" w:name="OLE_LINK232"/>
                  <w:r>
                    <w:rPr>
                      <w:rFonts w:hint="eastAsia"/>
                      <w:color w:val="auto"/>
                      <w14:ligatures w14:val="standardContextual"/>
                    </w:rPr>
                    <w:t>生物质锅炉燃烧废气</w:t>
                  </w:r>
                  <w:bookmarkEnd w:id="190"/>
                  <w:r>
                    <w:rPr>
                      <w:rFonts w:hint="eastAsia"/>
                      <w:color w:val="auto"/>
                      <w14:ligatures w14:val="standardContextual"/>
                    </w:rPr>
                    <w:t>（G1）</w:t>
                  </w:r>
                </w:p>
              </w:tc>
              <w:tc>
                <w:tcPr>
                  <w:tcW w:w="625" w:type="pct"/>
                  <w:vAlign w:val="center"/>
                </w:tcPr>
                <w:p w14:paraId="548806A2">
                  <w:pPr>
                    <w:widowControl w:val="0"/>
                    <w:overflowPunct w:val="0"/>
                    <w:autoSpaceDE w:val="0"/>
                    <w:autoSpaceDN w:val="0"/>
                    <w:snapToGrid w:val="0"/>
                    <w:spacing w:before="24" w:after="24"/>
                    <w:jc w:val="center"/>
                    <w:rPr>
                      <w:color w:val="auto"/>
                      <w14:ligatures w14:val="standardContextual"/>
                    </w:rPr>
                  </w:pPr>
                  <w:r>
                    <w:rPr>
                      <w:rFonts w:hint="eastAsia"/>
                      <w:color w:val="auto"/>
                      <w14:ligatures w14:val="standardContextual"/>
                    </w:rPr>
                    <w:t>0.127</w:t>
                  </w:r>
                </w:p>
              </w:tc>
              <w:tc>
                <w:tcPr>
                  <w:tcW w:w="768" w:type="pct"/>
                  <w:vAlign w:val="center"/>
                </w:tcPr>
                <w:p w14:paraId="2FDD9F45">
                  <w:pPr>
                    <w:widowControl w:val="0"/>
                    <w:overflowPunct w:val="0"/>
                    <w:autoSpaceDE w:val="0"/>
                    <w:autoSpaceDN w:val="0"/>
                    <w:snapToGrid w:val="0"/>
                    <w:spacing w:before="24" w:after="24"/>
                    <w:jc w:val="center"/>
                    <w:rPr>
                      <w:color w:val="auto"/>
                      <w14:ligatures w14:val="standardContextual"/>
                    </w:rPr>
                  </w:pPr>
                  <w:r>
                    <w:rPr>
                      <w:rFonts w:hint="eastAsia"/>
                      <w:color w:val="auto"/>
                      <w14:ligatures w14:val="standardContextual"/>
                    </w:rPr>
                    <w:t xml:space="preserve">0.127 </w:t>
                  </w:r>
                </w:p>
              </w:tc>
            </w:tr>
            <w:tr w14:paraId="76AD7D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92" w:type="pct"/>
                  <w:vAlign w:val="center"/>
                </w:tcPr>
                <w:p w14:paraId="370449C2">
                  <w:pPr>
                    <w:pStyle w:val="68"/>
                    <w:widowControl w:val="0"/>
                    <w:numPr>
                      <w:ilvl w:val="0"/>
                      <w:numId w:val="3"/>
                    </w:numPr>
                    <w:overflowPunct w:val="0"/>
                    <w:autoSpaceDE w:val="0"/>
                    <w:autoSpaceDN w:val="0"/>
                    <w:snapToGrid w:val="0"/>
                    <w:spacing w:before="24" w:after="24"/>
                    <w:ind w:firstLineChars="0"/>
                    <w:jc w:val="center"/>
                    <w:rPr>
                      <w:color w:val="auto"/>
                      <w14:ligatures w14:val="standardContextual"/>
                    </w:rPr>
                  </w:pPr>
                </w:p>
              </w:tc>
              <w:tc>
                <w:tcPr>
                  <w:tcW w:w="625" w:type="pct"/>
                  <w:vAlign w:val="center"/>
                </w:tcPr>
                <w:p w14:paraId="3A8E62DB">
                  <w:pPr>
                    <w:widowControl w:val="0"/>
                    <w:overflowPunct w:val="0"/>
                    <w:autoSpaceDE w:val="0"/>
                    <w:autoSpaceDN w:val="0"/>
                    <w:snapToGrid w:val="0"/>
                    <w:spacing w:before="24" w:after="24"/>
                    <w:jc w:val="center"/>
                    <w:rPr>
                      <w:color w:val="auto"/>
                      <w14:ligatures w14:val="standardContextual"/>
                    </w:rPr>
                  </w:pPr>
                  <w:r>
                    <w:rPr>
                      <w:rFonts w:hint="eastAsia"/>
                      <w:color w:val="auto"/>
                      <w14:ligatures w14:val="standardContextual"/>
                    </w:rPr>
                    <w:t>二氧化硫</w:t>
                  </w:r>
                </w:p>
              </w:tc>
              <w:tc>
                <w:tcPr>
                  <w:tcW w:w="2590" w:type="pct"/>
                  <w:vAlign w:val="top"/>
                </w:tcPr>
                <w:p w14:paraId="7304EFAB">
                  <w:pPr>
                    <w:widowControl w:val="0"/>
                    <w:overflowPunct w:val="0"/>
                    <w:autoSpaceDE w:val="0"/>
                    <w:autoSpaceDN w:val="0"/>
                    <w:snapToGrid w:val="0"/>
                    <w:jc w:val="center"/>
                    <w:rPr>
                      <w:color w:val="auto"/>
                      <w14:ligatures w14:val="standardContextual"/>
                    </w:rPr>
                  </w:pPr>
                  <w:r>
                    <w:rPr>
                      <w:rFonts w:hint="eastAsia"/>
                      <w:color w:val="auto"/>
                      <w14:ligatures w14:val="standardContextual"/>
                    </w:rPr>
                    <w:t>生物质锅炉燃烧废气（G1）</w:t>
                  </w:r>
                </w:p>
              </w:tc>
              <w:tc>
                <w:tcPr>
                  <w:tcW w:w="625" w:type="pct"/>
                  <w:vAlign w:val="center"/>
                </w:tcPr>
                <w:p w14:paraId="3EAD38D6">
                  <w:pPr>
                    <w:widowControl w:val="0"/>
                    <w:overflowPunct w:val="0"/>
                    <w:autoSpaceDE w:val="0"/>
                    <w:autoSpaceDN w:val="0"/>
                    <w:snapToGrid w:val="0"/>
                    <w:spacing w:before="24" w:after="24"/>
                    <w:jc w:val="center"/>
                    <w:rPr>
                      <w:color w:val="auto"/>
                      <w14:ligatures w14:val="standardContextual"/>
                    </w:rPr>
                  </w:pPr>
                  <w:r>
                    <w:rPr>
                      <w:rFonts w:hint="eastAsia"/>
                      <w:color w:val="auto"/>
                      <w14:ligatures w14:val="standardContextual"/>
                    </w:rPr>
                    <w:t xml:space="preserve">12.925 </w:t>
                  </w:r>
                </w:p>
              </w:tc>
              <w:tc>
                <w:tcPr>
                  <w:tcW w:w="768" w:type="pct"/>
                  <w:vAlign w:val="center"/>
                </w:tcPr>
                <w:p w14:paraId="03733B10">
                  <w:pPr>
                    <w:widowControl w:val="0"/>
                    <w:overflowPunct w:val="0"/>
                    <w:autoSpaceDE w:val="0"/>
                    <w:autoSpaceDN w:val="0"/>
                    <w:snapToGrid w:val="0"/>
                    <w:spacing w:before="24" w:after="24"/>
                    <w:jc w:val="center"/>
                    <w:rPr>
                      <w:color w:val="auto"/>
                      <w14:ligatures w14:val="standardContextual"/>
                    </w:rPr>
                  </w:pPr>
                  <w:r>
                    <w:rPr>
                      <w:rFonts w:hint="eastAsia"/>
                      <w:color w:val="auto"/>
                      <w14:ligatures w14:val="standardContextual"/>
                    </w:rPr>
                    <w:t xml:space="preserve">12.925 </w:t>
                  </w:r>
                </w:p>
              </w:tc>
            </w:tr>
            <w:tr w14:paraId="2E8755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92" w:type="pct"/>
                  <w:tcBorders>
                    <w:bottom w:val="single" w:color="auto" w:sz="12" w:space="0"/>
                    <w:insideH w:val="single" w:sz="12" w:space="0"/>
                  </w:tcBorders>
                  <w:vAlign w:val="center"/>
                </w:tcPr>
                <w:p w14:paraId="78B7430C">
                  <w:pPr>
                    <w:pStyle w:val="68"/>
                    <w:widowControl w:val="0"/>
                    <w:numPr>
                      <w:ilvl w:val="0"/>
                      <w:numId w:val="3"/>
                    </w:numPr>
                    <w:overflowPunct w:val="0"/>
                    <w:autoSpaceDE w:val="0"/>
                    <w:autoSpaceDN w:val="0"/>
                    <w:snapToGrid w:val="0"/>
                    <w:spacing w:before="24" w:after="24"/>
                    <w:ind w:firstLineChars="0"/>
                    <w:jc w:val="center"/>
                    <w:rPr>
                      <w:color w:val="auto"/>
                      <w14:ligatures w14:val="standardContextual"/>
                    </w:rPr>
                  </w:pPr>
                </w:p>
              </w:tc>
              <w:tc>
                <w:tcPr>
                  <w:tcW w:w="625" w:type="pct"/>
                  <w:tcBorders>
                    <w:bottom w:val="single" w:color="auto" w:sz="12" w:space="0"/>
                    <w:insideH w:val="single" w:sz="12" w:space="0"/>
                  </w:tcBorders>
                  <w:vAlign w:val="center"/>
                </w:tcPr>
                <w:p w14:paraId="29940AB0">
                  <w:pPr>
                    <w:widowControl w:val="0"/>
                    <w:overflowPunct w:val="0"/>
                    <w:autoSpaceDE w:val="0"/>
                    <w:autoSpaceDN w:val="0"/>
                    <w:snapToGrid w:val="0"/>
                    <w:spacing w:before="24" w:after="24"/>
                    <w:jc w:val="center"/>
                    <w:rPr>
                      <w:color w:val="auto"/>
                      <w14:ligatures w14:val="standardContextual"/>
                    </w:rPr>
                  </w:pPr>
                  <w:r>
                    <w:rPr>
                      <w:rFonts w:hint="eastAsia"/>
                      <w:color w:val="auto"/>
                      <w14:ligatures w14:val="standardContextual"/>
                    </w:rPr>
                    <w:t>氮氧化物</w:t>
                  </w:r>
                </w:p>
              </w:tc>
              <w:tc>
                <w:tcPr>
                  <w:tcW w:w="2590" w:type="pct"/>
                  <w:tcBorders>
                    <w:bottom w:val="single" w:color="auto" w:sz="12" w:space="0"/>
                    <w:insideH w:val="single" w:sz="12" w:space="0"/>
                  </w:tcBorders>
                  <w:vAlign w:val="top"/>
                </w:tcPr>
                <w:p w14:paraId="4970736A">
                  <w:pPr>
                    <w:widowControl w:val="0"/>
                    <w:overflowPunct w:val="0"/>
                    <w:autoSpaceDE w:val="0"/>
                    <w:autoSpaceDN w:val="0"/>
                    <w:snapToGrid w:val="0"/>
                    <w:spacing w:before="24" w:after="24"/>
                    <w:jc w:val="center"/>
                    <w:rPr>
                      <w:color w:val="auto"/>
                      <w14:ligatures w14:val="standardContextual"/>
                    </w:rPr>
                  </w:pPr>
                  <w:r>
                    <w:rPr>
                      <w:rFonts w:hint="eastAsia"/>
                      <w:color w:val="auto"/>
                      <w14:ligatures w14:val="standardContextual"/>
                    </w:rPr>
                    <w:t>生物质锅炉燃烧废气（G1）</w:t>
                  </w:r>
                </w:p>
              </w:tc>
              <w:tc>
                <w:tcPr>
                  <w:tcW w:w="625" w:type="pct"/>
                  <w:tcBorders>
                    <w:bottom w:val="single" w:color="auto" w:sz="12" w:space="0"/>
                    <w:insideH w:val="single" w:sz="12" w:space="0"/>
                  </w:tcBorders>
                  <w:vAlign w:val="center"/>
                </w:tcPr>
                <w:p w14:paraId="05C0C77E">
                  <w:pPr>
                    <w:widowControl w:val="0"/>
                    <w:overflowPunct w:val="0"/>
                    <w:autoSpaceDE w:val="0"/>
                    <w:autoSpaceDN w:val="0"/>
                    <w:snapToGrid w:val="0"/>
                    <w:spacing w:before="24" w:after="24"/>
                    <w:jc w:val="center"/>
                    <w:rPr>
                      <w:color w:val="auto"/>
                      <w14:ligatures w14:val="standardContextual"/>
                    </w:rPr>
                  </w:pPr>
                  <w:r>
                    <w:rPr>
                      <w:rFonts w:hint="eastAsia"/>
                      <w:color w:val="auto"/>
                      <w14:ligatures w14:val="standardContextual"/>
                    </w:rPr>
                    <w:t>18.096</w:t>
                  </w:r>
                </w:p>
              </w:tc>
              <w:tc>
                <w:tcPr>
                  <w:tcW w:w="768" w:type="pct"/>
                  <w:tcBorders>
                    <w:bottom w:val="single" w:color="auto" w:sz="12" w:space="0"/>
                    <w:insideH w:val="single" w:sz="12" w:space="0"/>
                  </w:tcBorders>
                  <w:vAlign w:val="center"/>
                </w:tcPr>
                <w:p w14:paraId="2F6AC7FF">
                  <w:pPr>
                    <w:widowControl w:val="0"/>
                    <w:overflowPunct w:val="0"/>
                    <w:autoSpaceDE w:val="0"/>
                    <w:autoSpaceDN w:val="0"/>
                    <w:snapToGrid w:val="0"/>
                    <w:spacing w:before="24" w:after="24"/>
                    <w:jc w:val="center"/>
                    <w:rPr>
                      <w:color w:val="auto"/>
                      <w14:ligatures w14:val="standardContextual"/>
                    </w:rPr>
                  </w:pPr>
                  <w:bookmarkStart w:id="191" w:name="OLE_LINK231"/>
                  <w:r>
                    <w:rPr>
                      <w:rFonts w:hint="eastAsia"/>
                      <w:color w:val="auto"/>
                      <w14:ligatures w14:val="standardContextual"/>
                    </w:rPr>
                    <w:t>18.096</w:t>
                  </w:r>
                  <w:bookmarkEnd w:id="191"/>
                </w:p>
              </w:tc>
            </w:tr>
          </w:tbl>
          <w:p w14:paraId="2F8BF2B4">
            <w:pPr>
              <w:pStyle w:val="3"/>
              <w:ind w:firstLine="482"/>
              <w:rPr>
                <w:b/>
                <w:bCs/>
                <w:color w:val="auto"/>
              </w:rPr>
            </w:pPr>
            <w:r>
              <w:rPr>
                <w:rFonts w:hint="eastAsia"/>
                <w:b/>
                <w:bCs/>
                <w:color w:val="auto"/>
              </w:rPr>
              <w:t>3、非正常工况</w:t>
            </w:r>
            <w:bookmarkStart w:id="192" w:name="OLE_LINK85"/>
          </w:p>
          <w:bookmarkEnd w:id="192"/>
          <w:p w14:paraId="3937BAD6">
            <w:pPr>
              <w:pStyle w:val="3"/>
              <w:ind w:firstLine="480"/>
              <w:rPr>
                <w:color w:val="auto"/>
              </w:rPr>
            </w:pPr>
            <w:r>
              <w:rPr>
                <w:rFonts w:hint="eastAsia"/>
                <w:color w:val="auto"/>
              </w:rPr>
              <w:t>非正常排放是指生产过程中开停车（工、炉）、设备检修、工艺设备运转异常等非正常工况下的污染物排放，以及污染物排放控制措施达不到应有效率等情况下的排放。</w:t>
            </w:r>
          </w:p>
          <w:p w14:paraId="7F035FE4">
            <w:pPr>
              <w:pStyle w:val="3"/>
              <w:ind w:firstLine="480"/>
              <w:rPr>
                <w:color w:val="auto"/>
              </w:rPr>
            </w:pPr>
            <w:r>
              <w:rPr>
                <w:rFonts w:hint="eastAsia"/>
                <w:color w:val="auto"/>
              </w:rPr>
              <w:t>本次评价考虑的非正常工况为DA001废气处理设施故障，生物质锅炉燃烧废气直接排放。</w:t>
            </w:r>
          </w:p>
          <w:p w14:paraId="12FAB9AF">
            <w:pPr>
              <w:pStyle w:val="49"/>
              <w:rPr>
                <w:color w:val="auto"/>
              </w:rPr>
            </w:pPr>
            <w:bookmarkStart w:id="193" w:name="_Ref172984926"/>
            <w:bookmarkStart w:id="194" w:name="_Ref186542428"/>
            <w:r>
              <w:rPr>
                <w:rFonts w:hint="eastAsia"/>
                <w:color w:val="auto"/>
              </w:rPr>
              <w:t xml:space="preserve">表4- </w:t>
            </w:r>
            <w:r>
              <w:rPr>
                <w:color w:val="auto"/>
              </w:rPr>
              <w:t>5</w:t>
            </w:r>
            <w:bookmarkEnd w:id="193"/>
            <w:r>
              <w:rPr>
                <w:rFonts w:hint="eastAsia"/>
                <w:color w:val="auto"/>
              </w:rPr>
              <w:t>：项目污染源非正常排放核算表</w:t>
            </w:r>
            <w:bookmarkEnd w:id="194"/>
          </w:p>
          <w:tbl>
            <w:tblPr>
              <w:tblStyle w:val="50"/>
              <w:tblW w:w="793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454"/>
              <w:gridCol w:w="742"/>
              <w:gridCol w:w="1249"/>
              <w:gridCol w:w="1156"/>
              <w:gridCol w:w="1225"/>
              <w:gridCol w:w="1087"/>
              <w:gridCol w:w="847"/>
              <w:gridCol w:w="1178"/>
            </w:tblGrid>
            <w:tr w14:paraId="239A2F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454" w:type="dxa"/>
                  <w:tcBorders>
                    <w:top w:val="single" w:color="auto" w:sz="12" w:space="0"/>
                    <w:left w:val="nil"/>
                    <w:bottom w:val="single" w:color="auto" w:sz="12" w:space="0"/>
                    <w:right w:val="single" w:color="auto" w:sz="4" w:space="0"/>
                    <w:insideH w:val="single" w:sz="12" w:space="0"/>
                    <w:insideV w:val="single" w:sz="4" w:space="0"/>
                    <w:tl2br w:val="nil"/>
                    <w:tr2bl w:val="nil"/>
                  </w:tcBorders>
                  <w:vAlign w:val="center"/>
                </w:tcPr>
                <w:p w14:paraId="44FE5FAE">
                  <w:pPr>
                    <w:keepLines w:val="0"/>
                    <w:widowControl w:val="0"/>
                    <w:suppressLineNumbers w:val="0"/>
                    <w:suppressAutoHyphens w:val="0"/>
                    <w:wordWrap/>
                    <w:overflowPunct w:val="0"/>
                    <w:topLinePunct w:val="0"/>
                    <w:autoSpaceDE w:val="0"/>
                    <w:autoSpaceDN w:val="0"/>
                    <w:adjustRightInd w:val="0"/>
                    <w:snapToGrid w:val="0"/>
                    <w:spacing w:before="24" w:after="24" w:line="240" w:lineRule="auto"/>
                    <w:ind w:left="0" w:leftChars="0" w:right="0" w:rightChars="0" w:firstLine="0" w:firstLineChars="0"/>
                    <w:jc w:val="center"/>
                    <w:outlineLvl w:val="9"/>
                    <w:rPr>
                      <w:rFonts w:hint="default" w:ascii="Times New Roman" w:hAnsi="Times New Roman" w:eastAsia="宋体" w:cs="Times New Roman"/>
                      <w:b/>
                      <w:i w:val="0"/>
                      <w:color w:val="auto"/>
                      <w:sz w:val="21"/>
                      <w:szCs w:val="21"/>
                      <w14:ligatures w14:val="standardContextual"/>
                    </w:rPr>
                  </w:pPr>
                  <w:r>
                    <w:rPr>
                      <w:rFonts w:hint="default" w:ascii="Times New Roman" w:hAnsi="Times New Roman" w:eastAsia="宋体" w:cs="Times New Roman"/>
                      <w:b/>
                      <w:i w:val="0"/>
                      <w:color w:val="auto"/>
                      <w:sz w:val="21"/>
                      <w:szCs w:val="21"/>
                      <w14:ligatures w14:val="standardContextual"/>
                    </w:rPr>
                    <w:t>序号</w:t>
                  </w:r>
                </w:p>
              </w:tc>
              <w:tc>
                <w:tcPr>
                  <w:tcW w:w="742" w:type="dxa"/>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6DA96B7A">
                  <w:pPr>
                    <w:keepLines w:val="0"/>
                    <w:widowControl w:val="0"/>
                    <w:suppressLineNumbers w:val="0"/>
                    <w:suppressAutoHyphens w:val="0"/>
                    <w:wordWrap/>
                    <w:overflowPunct w:val="0"/>
                    <w:topLinePunct w:val="0"/>
                    <w:autoSpaceDE w:val="0"/>
                    <w:autoSpaceDN w:val="0"/>
                    <w:adjustRightInd w:val="0"/>
                    <w:snapToGrid w:val="0"/>
                    <w:spacing w:before="24" w:after="24" w:line="240" w:lineRule="auto"/>
                    <w:ind w:left="0" w:leftChars="0" w:right="0" w:rightChars="0" w:firstLine="0" w:firstLineChars="0"/>
                    <w:jc w:val="center"/>
                    <w:outlineLvl w:val="9"/>
                    <w:rPr>
                      <w:rFonts w:hint="default" w:ascii="Times New Roman" w:hAnsi="Times New Roman" w:eastAsia="宋体" w:cs="Times New Roman"/>
                      <w:b/>
                      <w:i w:val="0"/>
                      <w:color w:val="auto"/>
                      <w:sz w:val="21"/>
                      <w:szCs w:val="21"/>
                      <w14:ligatures w14:val="standardContextual"/>
                    </w:rPr>
                  </w:pPr>
                  <w:r>
                    <w:rPr>
                      <w:rFonts w:hint="default" w:ascii="Times New Roman" w:hAnsi="Times New Roman" w:eastAsia="宋体" w:cs="Times New Roman"/>
                      <w:b/>
                      <w:i w:val="0"/>
                      <w:color w:val="auto"/>
                      <w:sz w:val="21"/>
                      <w:szCs w:val="21"/>
                      <w14:ligatures w14:val="standardContextual"/>
                    </w:rPr>
                    <w:t>污染源</w:t>
                  </w:r>
                </w:p>
              </w:tc>
              <w:tc>
                <w:tcPr>
                  <w:tcW w:w="1249" w:type="dxa"/>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178D1C49">
                  <w:pPr>
                    <w:keepLines w:val="0"/>
                    <w:widowControl w:val="0"/>
                    <w:suppressLineNumbers w:val="0"/>
                    <w:suppressAutoHyphens w:val="0"/>
                    <w:wordWrap/>
                    <w:overflowPunct w:val="0"/>
                    <w:topLinePunct w:val="0"/>
                    <w:autoSpaceDE w:val="0"/>
                    <w:autoSpaceDN w:val="0"/>
                    <w:adjustRightInd w:val="0"/>
                    <w:snapToGrid w:val="0"/>
                    <w:spacing w:before="24" w:after="24" w:line="240" w:lineRule="auto"/>
                    <w:ind w:left="0" w:leftChars="0" w:right="0" w:rightChars="0" w:firstLine="0" w:firstLineChars="0"/>
                    <w:jc w:val="center"/>
                    <w:outlineLvl w:val="9"/>
                    <w:rPr>
                      <w:rFonts w:hint="default" w:ascii="Times New Roman" w:hAnsi="Times New Roman" w:eastAsia="宋体" w:cs="Times New Roman"/>
                      <w:b/>
                      <w:i w:val="0"/>
                      <w:color w:val="auto"/>
                      <w:sz w:val="21"/>
                      <w:szCs w:val="21"/>
                      <w14:ligatures w14:val="standardContextual"/>
                    </w:rPr>
                  </w:pPr>
                  <w:r>
                    <w:rPr>
                      <w:rFonts w:hint="default" w:ascii="Times New Roman" w:hAnsi="Times New Roman" w:eastAsia="宋体" w:cs="Times New Roman"/>
                      <w:b/>
                      <w:i w:val="0"/>
                      <w:color w:val="auto"/>
                      <w:sz w:val="21"/>
                      <w:szCs w:val="21"/>
                      <w14:ligatures w14:val="standardContextual"/>
                    </w:rPr>
                    <w:t>污染物</w:t>
                  </w:r>
                </w:p>
              </w:tc>
              <w:tc>
                <w:tcPr>
                  <w:tcW w:w="1156" w:type="dxa"/>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1B82E4D4">
                  <w:pPr>
                    <w:keepLines w:val="0"/>
                    <w:widowControl w:val="0"/>
                    <w:suppressLineNumbers w:val="0"/>
                    <w:suppressAutoHyphens w:val="0"/>
                    <w:wordWrap/>
                    <w:overflowPunct w:val="0"/>
                    <w:topLinePunct w:val="0"/>
                    <w:autoSpaceDE w:val="0"/>
                    <w:autoSpaceDN w:val="0"/>
                    <w:adjustRightInd w:val="0"/>
                    <w:snapToGrid w:val="0"/>
                    <w:spacing w:before="24" w:after="24" w:line="240" w:lineRule="auto"/>
                    <w:ind w:left="0" w:leftChars="0" w:right="0" w:rightChars="0" w:firstLine="0" w:firstLineChars="0"/>
                    <w:jc w:val="center"/>
                    <w:outlineLvl w:val="9"/>
                    <w:rPr>
                      <w:rFonts w:hint="default" w:ascii="Times New Roman" w:hAnsi="Times New Roman" w:eastAsia="宋体" w:cs="Times New Roman"/>
                      <w:b/>
                      <w:i w:val="0"/>
                      <w:color w:val="auto"/>
                      <w:sz w:val="21"/>
                      <w:szCs w:val="21"/>
                      <w14:ligatures w14:val="standardContextual"/>
                    </w:rPr>
                  </w:pPr>
                  <w:r>
                    <w:rPr>
                      <w:rFonts w:hint="default" w:ascii="Times New Roman" w:hAnsi="Times New Roman" w:eastAsia="宋体" w:cs="Times New Roman"/>
                      <w:b/>
                      <w:i w:val="0"/>
                      <w:color w:val="auto"/>
                      <w:sz w:val="21"/>
                      <w:szCs w:val="21"/>
                      <w14:ligatures w14:val="standardContextual"/>
                    </w:rPr>
                    <w:t>排放浓度（</w:t>
                  </w:r>
                  <w:r>
                    <w:rPr>
                      <w:rFonts w:hint="default" w:ascii="Times New Roman" w:hAnsi="Times New Roman" w:eastAsia="Times New Roman" w:cs="Times New Roman"/>
                      <w:b/>
                      <w:i w:val="0"/>
                      <w:color w:val="auto"/>
                      <w:sz w:val="21"/>
                      <w:szCs w:val="21"/>
                      <w14:ligatures w14:val="standardContextual"/>
                    </w:rPr>
                    <w:t>mg/m</w:t>
                  </w:r>
                  <w:r>
                    <w:rPr>
                      <w:rFonts w:hint="default" w:ascii="Times New Roman" w:hAnsi="Times New Roman" w:eastAsia="Times New Roman" w:cs="Times New Roman"/>
                      <w:b/>
                      <w:i w:val="0"/>
                      <w:color w:val="auto"/>
                      <w:position w:val="7"/>
                      <w:sz w:val="13"/>
                      <w:szCs w:val="21"/>
                      <w:vertAlign w:val="superscript"/>
                      <w14:ligatures w14:val="standardContextual"/>
                    </w:rPr>
                    <w:t>3</w:t>
                  </w:r>
                  <w:r>
                    <w:rPr>
                      <w:rFonts w:hint="default" w:ascii="Times New Roman" w:hAnsi="Times New Roman" w:eastAsia="宋体" w:cs="Times New Roman"/>
                      <w:b/>
                      <w:i w:val="0"/>
                      <w:color w:val="auto"/>
                      <w:sz w:val="21"/>
                      <w:szCs w:val="21"/>
                      <w14:ligatures w14:val="standardContextual"/>
                    </w:rPr>
                    <w:t>）</w:t>
                  </w:r>
                </w:p>
              </w:tc>
              <w:tc>
                <w:tcPr>
                  <w:tcW w:w="1225" w:type="dxa"/>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0791575C">
                  <w:pPr>
                    <w:keepLines w:val="0"/>
                    <w:widowControl w:val="0"/>
                    <w:suppressLineNumbers w:val="0"/>
                    <w:suppressAutoHyphens w:val="0"/>
                    <w:wordWrap/>
                    <w:overflowPunct w:val="0"/>
                    <w:topLinePunct w:val="0"/>
                    <w:autoSpaceDE w:val="0"/>
                    <w:autoSpaceDN w:val="0"/>
                    <w:adjustRightInd w:val="0"/>
                    <w:snapToGrid w:val="0"/>
                    <w:spacing w:before="24" w:after="24" w:line="240" w:lineRule="auto"/>
                    <w:ind w:left="0" w:leftChars="0" w:right="0" w:rightChars="0" w:firstLine="0" w:firstLineChars="0"/>
                    <w:jc w:val="center"/>
                    <w:outlineLvl w:val="9"/>
                    <w:rPr>
                      <w:rFonts w:hint="default" w:ascii="Times New Roman" w:hAnsi="Times New Roman" w:eastAsia="宋体" w:cs="Times New Roman"/>
                      <w:b/>
                      <w:i w:val="0"/>
                      <w:color w:val="auto"/>
                      <w:sz w:val="21"/>
                      <w:szCs w:val="21"/>
                      <w14:ligatures w14:val="standardContextual"/>
                    </w:rPr>
                  </w:pPr>
                  <w:r>
                    <w:rPr>
                      <w:rFonts w:hint="default" w:ascii="Times New Roman" w:hAnsi="Times New Roman" w:eastAsia="宋体" w:cs="Times New Roman"/>
                      <w:b/>
                      <w:i w:val="0"/>
                      <w:color w:val="auto"/>
                      <w:w w:val="95"/>
                      <w:sz w:val="21"/>
                      <w:szCs w:val="21"/>
                      <w14:ligatures w14:val="standardContextual"/>
                    </w:rPr>
                    <w:t>排放</w:t>
                  </w:r>
                  <w:r>
                    <w:rPr>
                      <w:rFonts w:hint="eastAsia" w:ascii="Times New Roman" w:hAnsi="Times New Roman" w:eastAsia="宋体" w:cs="Times New Roman"/>
                      <w:b/>
                      <w:i w:val="0"/>
                      <w:color w:val="auto"/>
                      <w:w w:val="95"/>
                      <w:sz w:val="21"/>
                      <w:szCs w:val="21"/>
                      <w14:ligatures w14:val="standardContextual"/>
                    </w:rPr>
                    <w:t>量</w:t>
                  </w:r>
                  <w:r>
                    <w:rPr>
                      <w:rFonts w:hint="default" w:ascii="Times New Roman" w:hAnsi="Times New Roman" w:eastAsia="宋体" w:cs="Times New Roman"/>
                      <w:b/>
                      <w:i w:val="0"/>
                      <w:color w:val="auto"/>
                      <w:sz w:val="21"/>
                      <w:szCs w:val="21"/>
                      <w14:ligatures w14:val="standardContextual"/>
                    </w:rPr>
                    <w:t>（</w:t>
                  </w:r>
                  <w:r>
                    <w:rPr>
                      <w:rFonts w:hint="default" w:ascii="Times New Roman" w:hAnsi="Times New Roman" w:eastAsia="Times New Roman" w:cs="Times New Roman"/>
                      <w:b/>
                      <w:i w:val="0"/>
                      <w:color w:val="auto"/>
                      <w:sz w:val="21"/>
                      <w:szCs w:val="21"/>
                      <w14:ligatures w14:val="standardContextual"/>
                    </w:rPr>
                    <w:t>kg/</w:t>
                  </w:r>
                  <w:r>
                    <w:rPr>
                      <w:rFonts w:hint="eastAsia" w:ascii="Times New Roman" w:hAnsi="Times New Roman" w:cs="Times New Roman" w:eastAsiaTheme="minorEastAsia"/>
                      <w:b/>
                      <w:i w:val="0"/>
                      <w:color w:val="auto"/>
                      <w:sz w:val="21"/>
                      <w:szCs w:val="21"/>
                      <w14:ligatures w14:val="standardContextual"/>
                    </w:rPr>
                    <w:t>a</w:t>
                  </w:r>
                  <w:r>
                    <w:rPr>
                      <w:rFonts w:hint="default" w:ascii="Times New Roman" w:hAnsi="Times New Roman" w:eastAsia="宋体" w:cs="Times New Roman"/>
                      <w:b/>
                      <w:i w:val="0"/>
                      <w:color w:val="auto"/>
                      <w:sz w:val="21"/>
                      <w:szCs w:val="21"/>
                      <w14:ligatures w14:val="standardContextual"/>
                    </w:rPr>
                    <w:t>）</w:t>
                  </w:r>
                </w:p>
              </w:tc>
              <w:tc>
                <w:tcPr>
                  <w:tcW w:w="1087" w:type="dxa"/>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6DD11CB1">
                  <w:pPr>
                    <w:keepLines w:val="0"/>
                    <w:widowControl w:val="0"/>
                    <w:suppressLineNumbers w:val="0"/>
                    <w:suppressAutoHyphens w:val="0"/>
                    <w:wordWrap/>
                    <w:overflowPunct w:val="0"/>
                    <w:topLinePunct w:val="0"/>
                    <w:autoSpaceDE w:val="0"/>
                    <w:autoSpaceDN w:val="0"/>
                    <w:adjustRightInd w:val="0"/>
                    <w:snapToGrid w:val="0"/>
                    <w:spacing w:before="24" w:after="24" w:line="240" w:lineRule="auto"/>
                    <w:ind w:left="0" w:leftChars="0" w:right="0" w:rightChars="0" w:firstLine="0" w:firstLineChars="0"/>
                    <w:jc w:val="center"/>
                    <w:outlineLvl w:val="9"/>
                    <w:rPr>
                      <w:rFonts w:hint="default" w:ascii="Times New Roman" w:hAnsi="Times New Roman" w:eastAsia="宋体" w:cs="Times New Roman"/>
                      <w:b/>
                      <w:i w:val="0"/>
                      <w:color w:val="auto"/>
                      <w:sz w:val="21"/>
                      <w:szCs w:val="21"/>
                      <w14:ligatures w14:val="standardContextual"/>
                    </w:rPr>
                  </w:pPr>
                  <w:r>
                    <w:rPr>
                      <w:rFonts w:hint="default" w:ascii="Times New Roman" w:hAnsi="Times New Roman" w:eastAsia="宋体" w:cs="Times New Roman"/>
                      <w:b/>
                      <w:i w:val="0"/>
                      <w:color w:val="auto"/>
                      <w:sz w:val="21"/>
                      <w:szCs w:val="21"/>
                      <w14:ligatures w14:val="standardContextual"/>
                    </w:rPr>
                    <w:t>单次持续时间/h</w:t>
                  </w:r>
                </w:p>
              </w:tc>
              <w:tc>
                <w:tcPr>
                  <w:tcW w:w="847" w:type="dxa"/>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0A469BF4">
                  <w:pPr>
                    <w:keepLines w:val="0"/>
                    <w:widowControl w:val="0"/>
                    <w:suppressLineNumbers w:val="0"/>
                    <w:suppressAutoHyphens w:val="0"/>
                    <w:wordWrap/>
                    <w:overflowPunct w:val="0"/>
                    <w:topLinePunct w:val="0"/>
                    <w:autoSpaceDE w:val="0"/>
                    <w:autoSpaceDN w:val="0"/>
                    <w:adjustRightInd w:val="0"/>
                    <w:snapToGrid w:val="0"/>
                    <w:spacing w:before="24" w:after="24" w:line="240" w:lineRule="auto"/>
                    <w:ind w:left="0" w:leftChars="0" w:right="0" w:rightChars="0" w:firstLine="0" w:firstLineChars="0"/>
                    <w:jc w:val="center"/>
                    <w:outlineLvl w:val="9"/>
                    <w:rPr>
                      <w:rFonts w:hint="default" w:ascii="Times New Roman" w:hAnsi="Times New Roman" w:eastAsia="宋体" w:cs="Times New Roman"/>
                      <w:b/>
                      <w:i w:val="0"/>
                      <w:color w:val="auto"/>
                      <w:sz w:val="21"/>
                      <w:szCs w:val="21"/>
                      <w14:ligatures w14:val="standardContextual"/>
                    </w:rPr>
                  </w:pPr>
                  <w:r>
                    <w:rPr>
                      <w:rFonts w:hint="default" w:ascii="Times New Roman" w:hAnsi="Times New Roman" w:eastAsia="宋体" w:cs="Times New Roman"/>
                      <w:b/>
                      <w:i w:val="0"/>
                      <w:color w:val="auto"/>
                      <w:sz w:val="21"/>
                      <w:szCs w:val="21"/>
                      <w14:ligatures w14:val="standardContextual"/>
                    </w:rPr>
                    <w:t>年发生频次</w:t>
                  </w:r>
                </w:p>
              </w:tc>
              <w:tc>
                <w:tcPr>
                  <w:tcW w:w="1178" w:type="dxa"/>
                  <w:tcBorders>
                    <w:top w:val="single" w:color="auto" w:sz="12" w:space="0"/>
                    <w:bottom w:val="single" w:color="auto" w:sz="12" w:space="0"/>
                    <w:right w:val="nil"/>
                    <w:insideH w:val="single" w:sz="12" w:space="0"/>
                    <w:insideV w:val="single" w:sz="4" w:space="0"/>
                    <w:tl2br w:val="nil"/>
                    <w:tr2bl w:val="nil"/>
                  </w:tcBorders>
                  <w:vAlign w:val="center"/>
                </w:tcPr>
                <w:p w14:paraId="51D9979C">
                  <w:pPr>
                    <w:keepLines w:val="0"/>
                    <w:widowControl w:val="0"/>
                    <w:suppressLineNumbers w:val="0"/>
                    <w:suppressAutoHyphens w:val="0"/>
                    <w:wordWrap/>
                    <w:overflowPunct w:val="0"/>
                    <w:topLinePunct w:val="0"/>
                    <w:autoSpaceDE w:val="0"/>
                    <w:autoSpaceDN w:val="0"/>
                    <w:adjustRightInd w:val="0"/>
                    <w:snapToGrid w:val="0"/>
                    <w:spacing w:before="24" w:after="24" w:line="240" w:lineRule="auto"/>
                    <w:ind w:left="0" w:leftChars="0" w:right="0" w:rightChars="0" w:firstLine="0" w:firstLineChars="0"/>
                    <w:jc w:val="center"/>
                    <w:outlineLvl w:val="9"/>
                    <w:rPr>
                      <w:rFonts w:hint="default" w:ascii="Times New Roman" w:hAnsi="Times New Roman" w:eastAsia="宋体" w:cs="Times New Roman"/>
                      <w:b/>
                      <w:i w:val="0"/>
                      <w:color w:val="auto"/>
                      <w:sz w:val="21"/>
                      <w:szCs w:val="21"/>
                      <w14:ligatures w14:val="standardContextual"/>
                    </w:rPr>
                  </w:pPr>
                  <w:r>
                    <w:rPr>
                      <w:rFonts w:hint="default" w:ascii="Times New Roman" w:hAnsi="Times New Roman" w:eastAsia="宋体" w:cs="Times New Roman"/>
                      <w:b/>
                      <w:i w:val="0"/>
                      <w:color w:val="auto"/>
                      <w:sz w:val="21"/>
                      <w:szCs w:val="21"/>
                      <w14:ligatures w14:val="standardContextual"/>
                    </w:rPr>
                    <w:t>应对措施</w:t>
                  </w:r>
                </w:p>
              </w:tc>
            </w:tr>
            <w:tr w14:paraId="262E63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454" w:type="dxa"/>
                  <w:vAlign w:val="center"/>
                </w:tcPr>
                <w:p w14:paraId="6D2906DE">
                  <w:pPr>
                    <w:pStyle w:val="68"/>
                    <w:widowControl w:val="0"/>
                    <w:numPr>
                      <w:ilvl w:val="0"/>
                      <w:numId w:val="4"/>
                    </w:numPr>
                    <w:overflowPunct w:val="0"/>
                    <w:autoSpaceDE w:val="0"/>
                    <w:autoSpaceDN w:val="0"/>
                    <w:snapToGrid w:val="0"/>
                    <w:spacing w:before="24" w:after="24"/>
                    <w:ind w:firstLineChars="0"/>
                    <w:jc w:val="center"/>
                    <w:rPr>
                      <w:color w:val="auto"/>
                      <w14:ligatures w14:val="standardContextual"/>
                    </w:rPr>
                  </w:pPr>
                </w:p>
              </w:tc>
              <w:tc>
                <w:tcPr>
                  <w:tcW w:w="742" w:type="dxa"/>
                  <w:vMerge w:val="restart"/>
                  <w:vAlign w:val="center"/>
                </w:tcPr>
                <w:p w14:paraId="59F9575A">
                  <w:pPr>
                    <w:widowControl w:val="0"/>
                    <w:overflowPunct w:val="0"/>
                    <w:autoSpaceDE w:val="0"/>
                    <w:autoSpaceDN w:val="0"/>
                    <w:snapToGrid w:val="0"/>
                    <w:spacing w:before="24" w:after="24"/>
                    <w:jc w:val="center"/>
                    <w:rPr>
                      <w:color w:val="auto"/>
                      <w14:ligatures w14:val="standardContextual"/>
                    </w:rPr>
                  </w:pPr>
                  <w:r>
                    <w:rPr>
                      <w:rFonts w:hint="eastAsia"/>
                      <w:color w:val="auto"/>
                      <w14:ligatures w14:val="standardContextual"/>
                    </w:rPr>
                    <w:t>DA001</w:t>
                  </w:r>
                </w:p>
              </w:tc>
              <w:tc>
                <w:tcPr>
                  <w:tcW w:w="1249" w:type="dxa"/>
                  <w:vAlign w:val="center"/>
                </w:tcPr>
                <w:p w14:paraId="4D98F654">
                  <w:pPr>
                    <w:widowControl w:val="0"/>
                    <w:overflowPunct w:val="0"/>
                    <w:autoSpaceDE w:val="0"/>
                    <w:autoSpaceDN w:val="0"/>
                    <w:snapToGrid w:val="0"/>
                    <w:jc w:val="center"/>
                    <w:rPr>
                      <w:color w:val="auto"/>
                      <w14:ligatures w14:val="standardContextual"/>
                    </w:rPr>
                  </w:pPr>
                  <w:r>
                    <w:rPr>
                      <w:rFonts w:hint="eastAsia"/>
                      <w:color w:val="auto"/>
                      <w14:ligatures w14:val="standardContextual"/>
                    </w:rPr>
                    <w:t>颗粒物</w:t>
                  </w:r>
                </w:p>
              </w:tc>
              <w:tc>
                <w:tcPr>
                  <w:tcW w:w="1156" w:type="dxa"/>
                  <w:vAlign w:val="center"/>
                </w:tcPr>
                <w:p w14:paraId="002EDE2B">
                  <w:pPr>
                    <w:widowControl w:val="0"/>
                    <w:overflowPunct w:val="0"/>
                    <w:autoSpaceDE w:val="0"/>
                    <w:autoSpaceDN w:val="0"/>
                    <w:snapToGrid w:val="0"/>
                    <w:jc w:val="center"/>
                    <w:rPr>
                      <w:color w:val="auto"/>
                      <w14:ligatures w14:val="standardContextual"/>
                    </w:rPr>
                  </w:pPr>
                  <w:r>
                    <w:rPr>
                      <w:rFonts w:hint="eastAsia"/>
                      <w:color w:val="auto"/>
                      <w:sz w:val="18"/>
                      <w:szCs w:val="18"/>
                      <w14:ligatures w14:val="standardContextual"/>
                    </w:rPr>
                    <w:t>80.1</w:t>
                  </w:r>
                </w:p>
              </w:tc>
              <w:tc>
                <w:tcPr>
                  <w:tcW w:w="1225" w:type="dxa"/>
                  <w:vAlign w:val="center"/>
                </w:tcPr>
                <w:p w14:paraId="210DCF72">
                  <w:pPr>
                    <w:widowControl w:val="0"/>
                    <w:overflowPunct w:val="0"/>
                    <w:autoSpaceDE w:val="0"/>
                    <w:autoSpaceDN w:val="0"/>
                    <w:snapToGrid w:val="0"/>
                    <w:jc w:val="center"/>
                    <w:rPr>
                      <w:color w:val="auto"/>
                      <w14:ligatures w14:val="standardContextual"/>
                    </w:rPr>
                  </w:pPr>
                  <w:r>
                    <w:rPr>
                      <w:rFonts w:hint="eastAsia"/>
                      <w:color w:val="auto"/>
                      <w:sz w:val="18"/>
                      <w:szCs w:val="18"/>
                      <w14:ligatures w14:val="standardContextual"/>
                    </w:rPr>
                    <w:t>3.2</w:t>
                  </w:r>
                </w:p>
              </w:tc>
              <w:tc>
                <w:tcPr>
                  <w:tcW w:w="1087" w:type="dxa"/>
                  <w:vMerge w:val="restart"/>
                  <w:vAlign w:val="center"/>
                </w:tcPr>
                <w:p w14:paraId="29DC0842">
                  <w:pPr>
                    <w:widowControl w:val="0"/>
                    <w:overflowPunct w:val="0"/>
                    <w:autoSpaceDE w:val="0"/>
                    <w:autoSpaceDN w:val="0"/>
                    <w:snapToGrid w:val="0"/>
                    <w:spacing w:before="24" w:after="24"/>
                    <w:jc w:val="center"/>
                    <w:rPr>
                      <w:color w:val="auto"/>
                      <w:sz w:val="20"/>
                      <w14:ligatures w14:val="standardContextual"/>
                    </w:rPr>
                  </w:pPr>
                  <w:r>
                    <w:rPr>
                      <w:color w:val="auto"/>
                      <w:w w:val="99"/>
                      <w14:ligatures w14:val="standardContextual"/>
                    </w:rPr>
                    <w:t>1</w:t>
                  </w:r>
                </w:p>
              </w:tc>
              <w:tc>
                <w:tcPr>
                  <w:tcW w:w="847" w:type="dxa"/>
                  <w:vMerge w:val="restart"/>
                  <w:vAlign w:val="center"/>
                </w:tcPr>
                <w:p w14:paraId="7935848B">
                  <w:pPr>
                    <w:widowControl w:val="0"/>
                    <w:overflowPunct w:val="0"/>
                    <w:autoSpaceDE w:val="0"/>
                    <w:autoSpaceDN w:val="0"/>
                    <w:snapToGrid w:val="0"/>
                    <w:spacing w:before="24" w:after="24"/>
                    <w:jc w:val="center"/>
                    <w:rPr>
                      <w:color w:val="auto"/>
                      <w:sz w:val="20"/>
                      <w14:ligatures w14:val="standardContextual"/>
                    </w:rPr>
                  </w:pPr>
                  <w:r>
                    <w:rPr>
                      <w:color w:val="auto"/>
                      <w:w w:val="99"/>
                      <w14:ligatures w14:val="standardContextual"/>
                    </w:rPr>
                    <w:t>1</w:t>
                  </w:r>
                </w:p>
              </w:tc>
              <w:tc>
                <w:tcPr>
                  <w:tcW w:w="1178" w:type="dxa"/>
                  <w:vMerge w:val="restart"/>
                  <w:vAlign w:val="center"/>
                </w:tcPr>
                <w:p w14:paraId="152ACE05">
                  <w:pPr>
                    <w:widowControl w:val="0"/>
                    <w:overflowPunct w:val="0"/>
                    <w:autoSpaceDE w:val="0"/>
                    <w:autoSpaceDN w:val="0"/>
                    <w:snapToGrid w:val="0"/>
                    <w:jc w:val="center"/>
                    <w:rPr>
                      <w:color w:val="auto"/>
                      <w:sz w:val="20"/>
                      <w14:ligatures w14:val="standardContextual"/>
                    </w:rPr>
                  </w:pPr>
                  <w:r>
                    <w:rPr>
                      <w:rFonts w:hint="eastAsia"/>
                      <w:color w:val="auto"/>
                      <w:w w:val="95"/>
                      <w14:ligatures w14:val="standardContextual"/>
                    </w:rPr>
                    <w:t>立即停止该工序生产设备，对废气治理设施进行抢修</w:t>
                  </w:r>
                </w:p>
              </w:tc>
            </w:tr>
            <w:tr w14:paraId="6DEECD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454" w:type="dxa"/>
                  <w:vAlign w:val="center"/>
                </w:tcPr>
                <w:p w14:paraId="5CB26665">
                  <w:pPr>
                    <w:pStyle w:val="68"/>
                    <w:widowControl w:val="0"/>
                    <w:numPr>
                      <w:ilvl w:val="0"/>
                      <w:numId w:val="4"/>
                    </w:numPr>
                    <w:overflowPunct w:val="0"/>
                    <w:autoSpaceDE w:val="0"/>
                    <w:autoSpaceDN w:val="0"/>
                    <w:snapToGrid w:val="0"/>
                    <w:spacing w:before="24" w:after="24"/>
                    <w:ind w:firstLineChars="0"/>
                    <w:jc w:val="center"/>
                    <w:rPr>
                      <w:color w:val="auto"/>
                      <w14:ligatures w14:val="standardContextual"/>
                    </w:rPr>
                  </w:pPr>
                </w:p>
              </w:tc>
              <w:tc>
                <w:tcPr>
                  <w:tcW w:w="742" w:type="dxa"/>
                  <w:vMerge w:val="continue"/>
                  <w:vAlign w:val="center"/>
                </w:tcPr>
                <w:p w14:paraId="430F1146">
                  <w:pPr>
                    <w:widowControl w:val="0"/>
                    <w:overflowPunct w:val="0"/>
                    <w:autoSpaceDE w:val="0"/>
                    <w:autoSpaceDN w:val="0"/>
                    <w:snapToGrid w:val="0"/>
                    <w:spacing w:before="24" w:after="24"/>
                    <w:jc w:val="center"/>
                    <w:rPr>
                      <w:color w:val="auto"/>
                      <w14:ligatures w14:val="standardContextual"/>
                    </w:rPr>
                  </w:pPr>
                </w:p>
              </w:tc>
              <w:tc>
                <w:tcPr>
                  <w:tcW w:w="1249" w:type="dxa"/>
                  <w:vAlign w:val="center"/>
                </w:tcPr>
                <w:p w14:paraId="34168971">
                  <w:pPr>
                    <w:widowControl w:val="0"/>
                    <w:overflowPunct w:val="0"/>
                    <w:autoSpaceDE w:val="0"/>
                    <w:autoSpaceDN w:val="0"/>
                    <w:snapToGrid w:val="0"/>
                    <w:jc w:val="center"/>
                    <w:rPr>
                      <w:color w:val="auto"/>
                      <w14:ligatures w14:val="standardContextual"/>
                    </w:rPr>
                  </w:pPr>
                  <w:r>
                    <w:rPr>
                      <w:rFonts w:hint="eastAsia"/>
                      <w:color w:val="auto"/>
                      <w14:ligatures w14:val="standardContextual"/>
                    </w:rPr>
                    <w:t>二氧化硫</w:t>
                  </w:r>
                </w:p>
              </w:tc>
              <w:tc>
                <w:tcPr>
                  <w:tcW w:w="1156" w:type="dxa"/>
                  <w:vAlign w:val="center"/>
                </w:tcPr>
                <w:p w14:paraId="5FA373D0">
                  <w:pPr>
                    <w:widowControl w:val="0"/>
                    <w:overflowPunct w:val="0"/>
                    <w:autoSpaceDE w:val="0"/>
                    <w:autoSpaceDN w:val="0"/>
                    <w:snapToGrid w:val="0"/>
                    <w:jc w:val="center"/>
                    <w:rPr>
                      <w:color w:val="auto"/>
                      <w14:ligatures w14:val="standardContextual"/>
                    </w:rPr>
                  </w:pPr>
                  <w:r>
                    <w:rPr>
                      <w:rFonts w:hint="eastAsia"/>
                      <w:color w:val="auto"/>
                      <w:sz w:val="18"/>
                      <w:szCs w:val="18"/>
                      <w14:ligatures w14:val="standardContextual"/>
                    </w:rPr>
                    <w:t>81.7</w:t>
                  </w:r>
                </w:p>
              </w:tc>
              <w:tc>
                <w:tcPr>
                  <w:tcW w:w="1225" w:type="dxa"/>
                  <w:vAlign w:val="center"/>
                </w:tcPr>
                <w:p w14:paraId="1C9EE282">
                  <w:pPr>
                    <w:widowControl w:val="0"/>
                    <w:overflowPunct w:val="0"/>
                    <w:autoSpaceDE w:val="0"/>
                    <w:autoSpaceDN w:val="0"/>
                    <w:snapToGrid w:val="0"/>
                    <w:jc w:val="center"/>
                    <w:rPr>
                      <w:color w:val="auto"/>
                      <w14:ligatures w14:val="standardContextual"/>
                    </w:rPr>
                  </w:pPr>
                  <w:r>
                    <w:rPr>
                      <w:rFonts w:hint="eastAsia"/>
                      <w:color w:val="auto"/>
                      <w:sz w:val="18"/>
                      <w:szCs w:val="18"/>
                      <w14:ligatures w14:val="standardContextual"/>
                    </w:rPr>
                    <w:t>3.264</w:t>
                  </w:r>
                </w:p>
              </w:tc>
              <w:tc>
                <w:tcPr>
                  <w:tcW w:w="1087" w:type="dxa"/>
                  <w:vMerge w:val="continue"/>
                  <w:vAlign w:val="center"/>
                </w:tcPr>
                <w:p w14:paraId="166456F1">
                  <w:pPr>
                    <w:widowControl w:val="0"/>
                    <w:overflowPunct w:val="0"/>
                    <w:autoSpaceDE w:val="0"/>
                    <w:autoSpaceDN w:val="0"/>
                    <w:snapToGrid w:val="0"/>
                    <w:spacing w:before="24" w:after="24"/>
                    <w:jc w:val="center"/>
                    <w:rPr>
                      <w:color w:val="auto"/>
                      <w14:ligatures w14:val="standardContextual"/>
                    </w:rPr>
                  </w:pPr>
                </w:p>
              </w:tc>
              <w:tc>
                <w:tcPr>
                  <w:tcW w:w="847" w:type="dxa"/>
                  <w:vMerge w:val="continue"/>
                  <w:vAlign w:val="center"/>
                </w:tcPr>
                <w:p w14:paraId="22681A7E">
                  <w:pPr>
                    <w:widowControl w:val="0"/>
                    <w:overflowPunct w:val="0"/>
                    <w:autoSpaceDE w:val="0"/>
                    <w:autoSpaceDN w:val="0"/>
                    <w:snapToGrid w:val="0"/>
                    <w:spacing w:before="24" w:after="24"/>
                    <w:jc w:val="center"/>
                    <w:rPr>
                      <w:color w:val="auto"/>
                      <w14:ligatures w14:val="standardContextual"/>
                    </w:rPr>
                  </w:pPr>
                </w:p>
              </w:tc>
              <w:tc>
                <w:tcPr>
                  <w:tcW w:w="1178" w:type="dxa"/>
                  <w:vMerge w:val="continue"/>
                  <w:vAlign w:val="center"/>
                </w:tcPr>
                <w:p w14:paraId="0ECD1D6E">
                  <w:pPr>
                    <w:widowControl w:val="0"/>
                    <w:overflowPunct w:val="0"/>
                    <w:autoSpaceDE w:val="0"/>
                    <w:autoSpaceDN w:val="0"/>
                    <w:snapToGrid w:val="0"/>
                    <w:spacing w:before="24" w:after="24"/>
                    <w:jc w:val="center"/>
                    <w:rPr>
                      <w:color w:val="auto"/>
                      <w14:ligatures w14:val="standardContextual"/>
                    </w:rPr>
                  </w:pPr>
                </w:p>
              </w:tc>
            </w:tr>
            <w:tr w14:paraId="45D61B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454" w:type="dxa"/>
                  <w:tcBorders>
                    <w:bottom w:val="single" w:color="auto" w:sz="12" w:space="0"/>
                    <w:insideH w:val="single" w:sz="12" w:space="0"/>
                  </w:tcBorders>
                  <w:vAlign w:val="center"/>
                </w:tcPr>
                <w:p w14:paraId="5FA595F8">
                  <w:pPr>
                    <w:pStyle w:val="68"/>
                    <w:widowControl w:val="0"/>
                    <w:numPr>
                      <w:ilvl w:val="0"/>
                      <w:numId w:val="4"/>
                    </w:numPr>
                    <w:overflowPunct w:val="0"/>
                    <w:autoSpaceDE w:val="0"/>
                    <w:autoSpaceDN w:val="0"/>
                    <w:snapToGrid w:val="0"/>
                    <w:spacing w:before="24" w:after="24"/>
                    <w:ind w:firstLineChars="0"/>
                    <w:jc w:val="center"/>
                    <w:rPr>
                      <w:color w:val="auto"/>
                      <w:w w:val="99"/>
                      <w14:ligatures w14:val="standardContextual"/>
                    </w:rPr>
                  </w:pPr>
                </w:p>
              </w:tc>
              <w:tc>
                <w:tcPr>
                  <w:tcW w:w="742" w:type="dxa"/>
                  <w:vMerge w:val="continue"/>
                  <w:tcBorders>
                    <w:bottom w:val="single" w:color="auto" w:sz="12" w:space="0"/>
                    <w:insideH w:val="single" w:sz="12" w:space="0"/>
                  </w:tcBorders>
                  <w:vAlign w:val="center"/>
                </w:tcPr>
                <w:p w14:paraId="6E7744A0">
                  <w:pPr>
                    <w:widowControl w:val="0"/>
                    <w:overflowPunct w:val="0"/>
                    <w:autoSpaceDE w:val="0"/>
                    <w:autoSpaceDN w:val="0"/>
                    <w:snapToGrid w:val="0"/>
                    <w:spacing w:before="24" w:after="24"/>
                    <w:jc w:val="center"/>
                    <w:rPr>
                      <w:color w:val="auto"/>
                      <w14:ligatures w14:val="standardContextual"/>
                    </w:rPr>
                  </w:pPr>
                </w:p>
              </w:tc>
              <w:tc>
                <w:tcPr>
                  <w:tcW w:w="1249" w:type="dxa"/>
                  <w:tcBorders>
                    <w:bottom w:val="single" w:color="auto" w:sz="12" w:space="0"/>
                    <w:insideH w:val="single" w:sz="12" w:space="0"/>
                  </w:tcBorders>
                  <w:vAlign w:val="center"/>
                </w:tcPr>
                <w:p w14:paraId="70909FCA">
                  <w:pPr>
                    <w:widowControl w:val="0"/>
                    <w:overflowPunct w:val="0"/>
                    <w:autoSpaceDE w:val="0"/>
                    <w:autoSpaceDN w:val="0"/>
                    <w:snapToGrid w:val="0"/>
                    <w:jc w:val="center"/>
                    <w:rPr>
                      <w:color w:val="auto"/>
                      <w14:ligatures w14:val="standardContextual"/>
                    </w:rPr>
                  </w:pPr>
                  <w:r>
                    <w:rPr>
                      <w:rFonts w:hint="eastAsia"/>
                      <w:color w:val="auto"/>
                      <w14:ligatures w14:val="standardContextual"/>
                    </w:rPr>
                    <w:t>氮氧化物</w:t>
                  </w:r>
                </w:p>
              </w:tc>
              <w:tc>
                <w:tcPr>
                  <w:tcW w:w="1156" w:type="dxa"/>
                  <w:tcBorders>
                    <w:bottom w:val="single" w:color="auto" w:sz="12" w:space="0"/>
                    <w:insideH w:val="single" w:sz="12" w:space="0"/>
                  </w:tcBorders>
                  <w:vAlign w:val="center"/>
                </w:tcPr>
                <w:p w14:paraId="774EF759">
                  <w:pPr>
                    <w:widowControl w:val="0"/>
                    <w:overflowPunct w:val="0"/>
                    <w:autoSpaceDE w:val="0"/>
                    <w:autoSpaceDN w:val="0"/>
                    <w:snapToGrid w:val="0"/>
                    <w:jc w:val="center"/>
                    <w:rPr>
                      <w:color w:val="auto"/>
                      <w14:ligatures w14:val="standardContextual"/>
                    </w:rPr>
                  </w:pPr>
                  <w:r>
                    <w:rPr>
                      <w:rFonts w:hint="eastAsia"/>
                      <w:color w:val="auto"/>
                      <w:sz w:val="18"/>
                      <w:szCs w:val="18"/>
                      <w14:ligatures w14:val="standardContextual"/>
                    </w:rPr>
                    <w:t>163.5</w:t>
                  </w:r>
                </w:p>
              </w:tc>
              <w:tc>
                <w:tcPr>
                  <w:tcW w:w="1225" w:type="dxa"/>
                  <w:tcBorders>
                    <w:bottom w:val="single" w:color="auto" w:sz="12" w:space="0"/>
                    <w:insideH w:val="single" w:sz="12" w:space="0"/>
                  </w:tcBorders>
                  <w:vAlign w:val="center"/>
                </w:tcPr>
                <w:p w14:paraId="2B7411FC">
                  <w:pPr>
                    <w:widowControl w:val="0"/>
                    <w:overflowPunct w:val="0"/>
                    <w:autoSpaceDE w:val="0"/>
                    <w:autoSpaceDN w:val="0"/>
                    <w:snapToGrid w:val="0"/>
                    <w:jc w:val="center"/>
                    <w:rPr>
                      <w:color w:val="auto"/>
                      <w14:ligatures w14:val="standardContextual"/>
                    </w:rPr>
                  </w:pPr>
                  <w:r>
                    <w:rPr>
                      <w:rFonts w:hint="eastAsia"/>
                      <w:color w:val="auto"/>
                      <w:sz w:val="18"/>
                      <w:szCs w:val="18"/>
                      <w14:ligatures w14:val="standardContextual"/>
                    </w:rPr>
                    <w:t>6.528</w:t>
                  </w:r>
                </w:p>
              </w:tc>
              <w:tc>
                <w:tcPr>
                  <w:tcW w:w="1087" w:type="dxa"/>
                  <w:vMerge w:val="continue"/>
                  <w:tcBorders>
                    <w:bottom w:val="single" w:color="auto" w:sz="12" w:space="0"/>
                    <w:insideH w:val="single" w:sz="12" w:space="0"/>
                  </w:tcBorders>
                  <w:vAlign w:val="center"/>
                </w:tcPr>
                <w:p w14:paraId="1EE2C5BE">
                  <w:pPr>
                    <w:widowControl w:val="0"/>
                    <w:overflowPunct w:val="0"/>
                    <w:autoSpaceDE w:val="0"/>
                    <w:autoSpaceDN w:val="0"/>
                    <w:snapToGrid w:val="0"/>
                    <w:spacing w:before="24" w:after="24"/>
                    <w:jc w:val="center"/>
                    <w:rPr>
                      <w:color w:val="auto"/>
                      <w14:ligatures w14:val="standardContextual"/>
                    </w:rPr>
                  </w:pPr>
                </w:p>
              </w:tc>
              <w:tc>
                <w:tcPr>
                  <w:tcW w:w="847" w:type="dxa"/>
                  <w:vMerge w:val="continue"/>
                  <w:tcBorders>
                    <w:bottom w:val="single" w:color="auto" w:sz="12" w:space="0"/>
                    <w:insideH w:val="single" w:sz="12" w:space="0"/>
                  </w:tcBorders>
                  <w:vAlign w:val="center"/>
                </w:tcPr>
                <w:p w14:paraId="7CC8D1A7">
                  <w:pPr>
                    <w:widowControl w:val="0"/>
                    <w:overflowPunct w:val="0"/>
                    <w:autoSpaceDE w:val="0"/>
                    <w:autoSpaceDN w:val="0"/>
                    <w:snapToGrid w:val="0"/>
                    <w:spacing w:before="24" w:after="24"/>
                    <w:jc w:val="center"/>
                    <w:rPr>
                      <w:color w:val="auto"/>
                      <w14:ligatures w14:val="standardContextual"/>
                    </w:rPr>
                  </w:pPr>
                </w:p>
              </w:tc>
              <w:tc>
                <w:tcPr>
                  <w:tcW w:w="1178" w:type="dxa"/>
                  <w:vMerge w:val="continue"/>
                  <w:tcBorders>
                    <w:bottom w:val="single" w:color="auto" w:sz="12" w:space="0"/>
                    <w:insideH w:val="single" w:sz="12" w:space="0"/>
                  </w:tcBorders>
                  <w:vAlign w:val="center"/>
                </w:tcPr>
                <w:p w14:paraId="3F1FE662">
                  <w:pPr>
                    <w:widowControl w:val="0"/>
                    <w:overflowPunct w:val="0"/>
                    <w:autoSpaceDE w:val="0"/>
                    <w:autoSpaceDN w:val="0"/>
                    <w:snapToGrid w:val="0"/>
                    <w:spacing w:before="24" w:after="24"/>
                    <w:jc w:val="center"/>
                    <w:rPr>
                      <w:color w:val="auto"/>
                      <w14:ligatures w14:val="standardContextual"/>
                    </w:rPr>
                  </w:pPr>
                </w:p>
              </w:tc>
            </w:tr>
          </w:tbl>
          <w:p w14:paraId="4D1B532D">
            <w:pPr>
              <w:pStyle w:val="3"/>
              <w:ind w:firstLine="480"/>
              <w:rPr>
                <w:color w:val="auto"/>
              </w:rPr>
            </w:pPr>
            <w:r>
              <w:rPr>
                <w:rFonts w:hint="eastAsia"/>
                <w:color w:val="auto"/>
              </w:rPr>
              <w:t xml:space="preserve">由表4- </w:t>
            </w:r>
            <w:r>
              <w:rPr>
                <w:color w:val="auto"/>
              </w:rPr>
              <w:t>5</w:t>
            </w:r>
            <w:r>
              <w:rPr>
                <w:rFonts w:hint="eastAsia"/>
                <w:color w:val="auto"/>
              </w:rPr>
              <w:t>可知，当DA001废气处理设施发生故障时，非正常情况下，污染源DA001中颗粒物不能满足《锅炉大气污染物排放标准》(GB13271-2014）限值。因此，为减少废气对周边环境的影响，因此当DA001废气处理设施故障时，应及时对处理措施进行维修，保证处理措施的正常运行。</w:t>
            </w:r>
          </w:p>
          <w:p w14:paraId="422071A4">
            <w:pPr>
              <w:pStyle w:val="3"/>
              <w:ind w:firstLine="482"/>
              <w:rPr>
                <w:b/>
                <w:bCs/>
                <w:color w:val="auto"/>
              </w:rPr>
            </w:pPr>
            <w:r>
              <w:rPr>
                <w:rFonts w:hint="eastAsia"/>
                <w:b/>
                <w:bCs/>
                <w:color w:val="auto"/>
              </w:rPr>
              <w:t>4、废气污染防治措施可行性分析</w:t>
            </w:r>
          </w:p>
          <w:p w14:paraId="316FCCF5">
            <w:pPr>
              <w:pStyle w:val="3"/>
              <w:ind w:firstLine="480"/>
              <w:rPr>
                <w:color w:val="auto"/>
              </w:rPr>
            </w:pPr>
            <w:bookmarkStart w:id="195" w:name="（1）排气筒高度合理性分析"/>
            <w:r>
              <w:rPr>
                <w:rFonts w:hint="eastAsia"/>
                <w:color w:val="auto"/>
              </w:rPr>
              <w:t>（1）排气筒高度合理性分析</w:t>
            </w:r>
            <w:bookmarkEnd w:id="195"/>
          </w:p>
          <w:p w14:paraId="3ADE9C6B">
            <w:pPr>
              <w:pStyle w:val="3"/>
              <w:ind w:firstLine="480"/>
              <w:rPr>
                <w:color w:val="auto"/>
              </w:rPr>
            </w:pPr>
            <w:r>
              <w:rPr>
                <w:rFonts w:hint="eastAsia"/>
                <w:color w:val="auto"/>
              </w:rPr>
              <w:t>根据《锅炉大气污染物排放标准》（GB 13271-2014）可知4台8t/h 锅炉总容量为32t/h，对应的烟囱高度为45m，还应高出周围200m 半径范围的建筑3 m 以上。项目周围200m范围最高建筑高度约为28m，项目锅炉烟囱高度为45 m，能满足《锅炉大气污染物排放标准》（GB 13271-2014）烟囱高度要求。</w:t>
            </w:r>
          </w:p>
          <w:p w14:paraId="597DF1B4">
            <w:pPr>
              <w:pStyle w:val="3"/>
              <w:ind w:firstLine="480"/>
              <w:rPr>
                <w:color w:val="auto"/>
              </w:rPr>
            </w:pPr>
            <w:r>
              <w:rPr>
                <w:rFonts w:hint="eastAsia"/>
                <w:color w:val="auto"/>
              </w:rPr>
              <w:t>（2）低氮燃烧+多管旋风除尘+布袋除尘</w:t>
            </w:r>
          </w:p>
          <w:p w14:paraId="0E8FBA45">
            <w:pPr>
              <w:pStyle w:val="3"/>
              <w:ind w:firstLine="480"/>
              <w:rPr>
                <w:color w:val="auto"/>
              </w:rPr>
            </w:pPr>
            <w:r>
              <w:rPr>
                <w:rFonts w:hint="eastAsia"/>
                <w:color w:val="auto"/>
              </w:rPr>
              <w:t>根据《排污许可证申请与核发技术规范-锅炉》（HJ953-2018）中锅炉烟气污染防治可行技术的要求：燃生物质的锅炉，颗粒物防治可行技术为旋风除尘和袋式除尘组合技术，氮氧化物防治可行技术有低氮燃烧技术、低氮+SNCR 脱硝技术、低氮+SCR 脱硝技术、SNCR 脱硝技术、SCR 脱硝技术等。本项目锅炉废气处理设备为“</w:t>
            </w:r>
            <w:bookmarkStart w:id="196" w:name="OLE_LINK239"/>
            <w:r>
              <w:rPr>
                <w:rFonts w:hint="eastAsia"/>
                <w:color w:val="auto"/>
              </w:rPr>
              <w:t>低氮燃烧+多管旋风除尘+布袋除尘</w:t>
            </w:r>
            <w:bookmarkEnd w:id="196"/>
            <w:r>
              <w:rPr>
                <w:rFonts w:hint="eastAsia"/>
                <w:color w:val="auto"/>
              </w:rPr>
              <w:t>”，属于该技术规范中的可行技术。废气经处理后，污染物能满足《锅炉大气污染物排放标准》（GB 13271-2014）表2 新建燃煤锅炉大气污染物排放浓度限值。</w:t>
            </w:r>
          </w:p>
          <w:p w14:paraId="581B3CB2">
            <w:pPr>
              <w:pStyle w:val="3"/>
              <w:ind w:firstLine="482"/>
              <w:rPr>
                <w:b/>
                <w:bCs/>
                <w:color w:val="auto"/>
              </w:rPr>
            </w:pPr>
            <w:r>
              <w:rPr>
                <w:rFonts w:hint="eastAsia"/>
                <w:b/>
                <w:bCs/>
                <w:color w:val="auto"/>
              </w:rPr>
              <w:t>5、自行监测要求</w:t>
            </w:r>
          </w:p>
          <w:p w14:paraId="3C8BAA4C">
            <w:pPr>
              <w:pStyle w:val="3"/>
              <w:ind w:firstLine="480"/>
              <w:rPr>
                <w:color w:val="auto"/>
              </w:rPr>
            </w:pPr>
            <w:bookmarkStart w:id="197" w:name="OLE_LINK251"/>
            <w:r>
              <w:rPr>
                <w:rFonts w:hint="eastAsia"/>
                <w:color w:val="auto"/>
              </w:rPr>
              <w:t>根据《排污许可证申请与核发技术规范 锅炉》(HJ 953-2018)、《</w:t>
            </w:r>
            <w:bookmarkStart w:id="198" w:name="OLE_LINK250"/>
            <w:r>
              <w:rPr>
                <w:rFonts w:hint="eastAsia"/>
                <w:color w:val="auto"/>
              </w:rPr>
              <w:t>排污单位自行监测技术指南 火力发电及锅炉》(HJ820-2017)</w:t>
            </w:r>
            <w:bookmarkEnd w:id="198"/>
            <w:r>
              <w:rPr>
                <w:rFonts w:hint="eastAsia"/>
                <w:color w:val="auto"/>
              </w:rPr>
              <w:t>等要求，制定以下自行监测计划。</w:t>
            </w:r>
            <w:bookmarkEnd w:id="197"/>
          </w:p>
          <w:p w14:paraId="5F0CDA58">
            <w:pPr>
              <w:pStyle w:val="49"/>
              <w:rPr>
                <w:color w:val="auto"/>
              </w:rPr>
            </w:pPr>
            <w:bookmarkStart w:id="199" w:name="_Ref192717133"/>
            <w:r>
              <w:rPr>
                <w:rFonts w:hint="eastAsia"/>
                <w:color w:val="auto"/>
              </w:rPr>
              <w:t xml:space="preserve">表4- </w:t>
            </w:r>
            <w:r>
              <w:rPr>
                <w:color w:val="auto"/>
              </w:rPr>
              <w:t>6</w:t>
            </w:r>
            <w:r>
              <w:rPr>
                <w:rFonts w:hint="eastAsia"/>
                <w:color w:val="auto"/>
              </w:rPr>
              <w:t>：废气监测计划</w:t>
            </w:r>
            <w:bookmarkEnd w:id="199"/>
          </w:p>
          <w:tbl>
            <w:tblPr>
              <w:tblStyle w:val="5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1344"/>
              <w:gridCol w:w="3824"/>
              <w:gridCol w:w="1566"/>
              <w:gridCol w:w="1216"/>
            </w:tblGrid>
            <w:tr w14:paraId="29E837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845" w:type="pct"/>
                  <w:tcBorders>
                    <w:top w:val="single" w:color="auto" w:sz="12" w:space="0"/>
                    <w:left w:val="nil"/>
                    <w:bottom w:val="single" w:color="auto" w:sz="12" w:space="0"/>
                    <w:right w:val="single" w:color="auto" w:sz="4" w:space="0"/>
                    <w:insideH w:val="single" w:sz="12" w:space="0"/>
                    <w:insideV w:val="single" w:sz="4" w:space="0"/>
                    <w:tl2br w:val="nil"/>
                    <w:tr2bl w:val="nil"/>
                  </w:tcBorders>
                  <w:vAlign w:val="center"/>
                </w:tcPr>
                <w:p w14:paraId="061DC8B8">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sz w:val="21"/>
                      <w:szCs w:val="21"/>
                      <w14:ligatures w14:val="standardContextual"/>
                    </w:rPr>
                  </w:pPr>
                  <w:r>
                    <w:rPr>
                      <w:rFonts w:hint="eastAsia" w:ascii="Times New Roman" w:hAnsi="Times New Roman" w:eastAsia="宋体" w:cs="Times New Roman"/>
                      <w:b/>
                      <w:i w:val="0"/>
                      <w:color w:val="auto"/>
                      <w:sz w:val="21"/>
                      <w:szCs w:val="21"/>
                      <w14:ligatures w14:val="standardContextual"/>
                    </w:rPr>
                    <w:t>排放形式</w:t>
                  </w:r>
                </w:p>
              </w:tc>
              <w:tc>
                <w:tcPr>
                  <w:tcW w:w="2405"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3FA9F2D1">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sz w:val="21"/>
                      <w:szCs w:val="21"/>
                      <w14:ligatures w14:val="standardContextual"/>
                    </w:rPr>
                  </w:pPr>
                  <w:r>
                    <w:rPr>
                      <w:rFonts w:hint="default" w:ascii="Times New Roman" w:hAnsi="Times New Roman" w:eastAsia="宋体" w:cs="Times New Roman"/>
                      <w:b/>
                      <w:i w:val="0"/>
                      <w:color w:val="auto"/>
                      <w:sz w:val="21"/>
                      <w:szCs w:val="21"/>
                      <w14:ligatures w14:val="standardContextual"/>
                    </w:rPr>
                    <w:t>监测项目</w:t>
                  </w:r>
                </w:p>
              </w:tc>
              <w:tc>
                <w:tcPr>
                  <w:tcW w:w="985"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75D509B3">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sz w:val="21"/>
                      <w:szCs w:val="21"/>
                      <w14:ligatures w14:val="standardContextual"/>
                    </w:rPr>
                  </w:pPr>
                  <w:r>
                    <w:rPr>
                      <w:rFonts w:hint="default" w:ascii="Times New Roman" w:hAnsi="Times New Roman" w:eastAsia="宋体" w:cs="Times New Roman"/>
                      <w:b/>
                      <w:i w:val="0"/>
                      <w:color w:val="auto"/>
                      <w:sz w:val="21"/>
                      <w:szCs w:val="21"/>
                      <w14:ligatures w14:val="standardContextual"/>
                    </w:rPr>
                    <w:t>监测点位</w:t>
                  </w:r>
                </w:p>
              </w:tc>
              <w:tc>
                <w:tcPr>
                  <w:tcW w:w="765" w:type="pct"/>
                  <w:tcBorders>
                    <w:top w:val="single" w:color="auto" w:sz="12" w:space="0"/>
                    <w:bottom w:val="single" w:color="auto" w:sz="12" w:space="0"/>
                    <w:right w:val="nil"/>
                    <w:insideH w:val="single" w:sz="12" w:space="0"/>
                    <w:insideV w:val="single" w:sz="4" w:space="0"/>
                    <w:tl2br w:val="nil"/>
                    <w:tr2bl w:val="nil"/>
                  </w:tcBorders>
                  <w:vAlign w:val="center"/>
                </w:tcPr>
                <w:p w14:paraId="08E206B3">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sz w:val="21"/>
                      <w:szCs w:val="21"/>
                      <w14:ligatures w14:val="standardContextual"/>
                    </w:rPr>
                  </w:pPr>
                  <w:r>
                    <w:rPr>
                      <w:rFonts w:hint="default" w:ascii="Times New Roman" w:hAnsi="Times New Roman" w:eastAsia="宋体" w:cs="Times New Roman"/>
                      <w:b/>
                      <w:i w:val="0"/>
                      <w:color w:val="auto"/>
                      <w:sz w:val="21"/>
                      <w:szCs w:val="21"/>
                      <w14:ligatures w14:val="standardContextual"/>
                    </w:rPr>
                    <w:t>监测频次</w:t>
                  </w:r>
                </w:p>
              </w:tc>
            </w:tr>
            <w:tr w14:paraId="49BEEE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845" w:type="pct"/>
                  <w:vMerge w:val="restart"/>
                  <w:vAlign w:val="center"/>
                </w:tcPr>
                <w:p w14:paraId="4631D20E">
                  <w:pPr>
                    <w:widowControl w:val="0"/>
                    <w:overflowPunct w:val="0"/>
                    <w:autoSpaceDE w:val="0"/>
                    <w:autoSpaceDN w:val="0"/>
                    <w:snapToGrid w:val="0"/>
                    <w:jc w:val="center"/>
                    <w:rPr>
                      <w:color w:val="auto"/>
                      <w14:ligatures w14:val="standardContextual"/>
                    </w:rPr>
                  </w:pPr>
                  <w:r>
                    <w:rPr>
                      <w:rFonts w:hint="eastAsia"/>
                      <w:color w:val="auto"/>
                      <w14:ligatures w14:val="standardContextual"/>
                    </w:rPr>
                    <w:t>有组织</w:t>
                  </w:r>
                </w:p>
              </w:tc>
              <w:tc>
                <w:tcPr>
                  <w:tcW w:w="2405" w:type="pct"/>
                  <w:vAlign w:val="center"/>
                </w:tcPr>
                <w:p w14:paraId="00544D43">
                  <w:pPr>
                    <w:widowControl w:val="0"/>
                    <w:overflowPunct w:val="0"/>
                    <w:autoSpaceDE w:val="0"/>
                    <w:autoSpaceDN w:val="0"/>
                    <w:snapToGrid w:val="0"/>
                    <w:jc w:val="center"/>
                    <w:rPr>
                      <w:color w:val="auto"/>
                      <w14:ligatures w14:val="standardContextual"/>
                    </w:rPr>
                  </w:pPr>
                  <w:r>
                    <w:rPr>
                      <w:rFonts w:hint="eastAsia"/>
                      <w:color w:val="auto"/>
                      <w14:ligatures w14:val="standardContextual"/>
                    </w:rPr>
                    <w:t>颗粒物、二氧化硫、氮氧化物</w:t>
                  </w:r>
                </w:p>
              </w:tc>
              <w:tc>
                <w:tcPr>
                  <w:tcW w:w="985" w:type="pct"/>
                  <w:vMerge w:val="restart"/>
                  <w:vAlign w:val="center"/>
                </w:tcPr>
                <w:p w14:paraId="3D24C594">
                  <w:pPr>
                    <w:widowControl w:val="0"/>
                    <w:overflowPunct w:val="0"/>
                    <w:autoSpaceDE w:val="0"/>
                    <w:autoSpaceDN w:val="0"/>
                    <w:snapToGrid w:val="0"/>
                    <w:jc w:val="center"/>
                    <w:rPr>
                      <w:rFonts w:eastAsiaTheme="minorEastAsia"/>
                      <w:color w:val="auto"/>
                      <w14:ligatures w14:val="standardContextual"/>
                    </w:rPr>
                  </w:pPr>
                  <w:r>
                    <w:rPr>
                      <w:rFonts w:hint="eastAsia" w:eastAsiaTheme="minorEastAsia"/>
                      <w:color w:val="auto"/>
                      <w14:ligatures w14:val="standardContextual"/>
                    </w:rPr>
                    <w:t>DA001</w:t>
                  </w:r>
                </w:p>
              </w:tc>
              <w:tc>
                <w:tcPr>
                  <w:tcW w:w="765" w:type="pct"/>
                  <w:vAlign w:val="center"/>
                </w:tcPr>
                <w:p w14:paraId="46BC881F">
                  <w:pPr>
                    <w:widowControl w:val="0"/>
                    <w:overflowPunct w:val="0"/>
                    <w:autoSpaceDE w:val="0"/>
                    <w:autoSpaceDN w:val="0"/>
                    <w:snapToGrid w:val="0"/>
                    <w:jc w:val="center"/>
                    <w:rPr>
                      <w:color w:val="auto"/>
                      <w14:ligatures w14:val="standardContextual"/>
                    </w:rPr>
                  </w:pPr>
                  <w:r>
                    <w:rPr>
                      <w:rFonts w:hint="eastAsia"/>
                      <w:color w:val="auto"/>
                      <w14:ligatures w14:val="standardContextual"/>
                    </w:rPr>
                    <w:t>自动监测</w:t>
                  </w:r>
                </w:p>
              </w:tc>
            </w:tr>
            <w:tr w14:paraId="4E9FB3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845" w:type="pct"/>
                  <w:vMerge w:val="continue"/>
                  <w:tcBorders>
                    <w:bottom w:val="single" w:color="auto" w:sz="12" w:space="0"/>
                    <w:insideH w:val="single" w:sz="12" w:space="0"/>
                  </w:tcBorders>
                  <w:vAlign w:val="center"/>
                </w:tcPr>
                <w:p w14:paraId="4CABE732">
                  <w:pPr>
                    <w:widowControl w:val="0"/>
                    <w:overflowPunct w:val="0"/>
                    <w:autoSpaceDE w:val="0"/>
                    <w:autoSpaceDN w:val="0"/>
                    <w:snapToGrid w:val="0"/>
                    <w:jc w:val="center"/>
                    <w:rPr>
                      <w:color w:val="auto"/>
                      <w14:ligatures w14:val="standardContextual"/>
                    </w:rPr>
                  </w:pPr>
                </w:p>
              </w:tc>
              <w:tc>
                <w:tcPr>
                  <w:tcW w:w="2405" w:type="pct"/>
                  <w:tcBorders>
                    <w:bottom w:val="single" w:color="auto" w:sz="12" w:space="0"/>
                    <w:insideH w:val="single" w:sz="12" w:space="0"/>
                  </w:tcBorders>
                  <w:vAlign w:val="center"/>
                </w:tcPr>
                <w:p w14:paraId="79D147B8">
                  <w:pPr>
                    <w:widowControl w:val="0"/>
                    <w:overflowPunct w:val="0"/>
                    <w:autoSpaceDE w:val="0"/>
                    <w:autoSpaceDN w:val="0"/>
                    <w:snapToGrid w:val="0"/>
                    <w:jc w:val="center"/>
                    <w:rPr>
                      <w:color w:val="auto"/>
                      <w14:ligatures w14:val="standardContextual"/>
                    </w:rPr>
                  </w:pPr>
                  <w:r>
                    <w:rPr>
                      <w:rFonts w:hint="eastAsia"/>
                      <w:color w:val="auto"/>
                      <w14:ligatures w14:val="standardContextual"/>
                    </w:rPr>
                    <w:t>烟气黑度</w:t>
                  </w:r>
                </w:p>
              </w:tc>
              <w:tc>
                <w:tcPr>
                  <w:tcW w:w="985" w:type="pct"/>
                  <w:vMerge w:val="continue"/>
                  <w:tcBorders>
                    <w:bottom w:val="single" w:color="auto" w:sz="12" w:space="0"/>
                    <w:insideH w:val="single" w:sz="12" w:space="0"/>
                  </w:tcBorders>
                  <w:vAlign w:val="center"/>
                </w:tcPr>
                <w:p w14:paraId="6CB966E3">
                  <w:pPr>
                    <w:widowControl w:val="0"/>
                    <w:overflowPunct w:val="0"/>
                    <w:autoSpaceDE w:val="0"/>
                    <w:autoSpaceDN w:val="0"/>
                    <w:snapToGrid w:val="0"/>
                    <w:jc w:val="center"/>
                    <w:rPr>
                      <w:rFonts w:eastAsiaTheme="minorEastAsia"/>
                      <w:color w:val="auto"/>
                      <w14:ligatures w14:val="standardContextual"/>
                    </w:rPr>
                  </w:pPr>
                </w:p>
              </w:tc>
              <w:tc>
                <w:tcPr>
                  <w:tcW w:w="765" w:type="pct"/>
                  <w:tcBorders>
                    <w:bottom w:val="single" w:color="auto" w:sz="12" w:space="0"/>
                    <w:insideH w:val="single" w:sz="12" w:space="0"/>
                  </w:tcBorders>
                  <w:vAlign w:val="center"/>
                </w:tcPr>
                <w:p w14:paraId="1FACF4D9">
                  <w:pPr>
                    <w:widowControl w:val="0"/>
                    <w:overflowPunct w:val="0"/>
                    <w:autoSpaceDE w:val="0"/>
                    <w:autoSpaceDN w:val="0"/>
                    <w:snapToGrid w:val="0"/>
                    <w:jc w:val="center"/>
                    <w:rPr>
                      <w:rFonts w:eastAsiaTheme="minorEastAsia"/>
                      <w:color w:val="auto"/>
                      <w14:ligatures w14:val="standardContextual"/>
                    </w:rPr>
                  </w:pPr>
                  <w:r>
                    <w:rPr>
                      <w:rFonts w:hint="eastAsia"/>
                      <w:color w:val="auto"/>
                      <w14:ligatures w14:val="standardContextual"/>
                    </w:rPr>
                    <w:t>1次/季度</w:t>
                  </w:r>
                </w:p>
              </w:tc>
            </w:tr>
          </w:tbl>
          <w:p w14:paraId="6EAB7381">
            <w:pPr>
              <w:pStyle w:val="3"/>
              <w:ind w:firstLine="482"/>
              <w:rPr>
                <w:b/>
                <w:bCs/>
                <w:color w:val="auto"/>
              </w:rPr>
            </w:pPr>
            <w:r>
              <w:rPr>
                <w:rFonts w:hint="eastAsia"/>
                <w:b/>
                <w:bCs/>
                <w:color w:val="auto"/>
              </w:rPr>
              <w:t>6、大气环境影响评价结论</w:t>
            </w:r>
          </w:p>
          <w:p w14:paraId="5072339F">
            <w:pPr>
              <w:pStyle w:val="3"/>
              <w:ind w:firstLine="480"/>
              <w:rPr>
                <w:color w:val="auto"/>
              </w:rPr>
            </w:pPr>
            <w:r>
              <w:rPr>
                <w:rFonts w:hint="eastAsia"/>
                <w:color w:val="auto"/>
              </w:rPr>
              <w:t>本项目所在区域为达标区，厂界外500米范围内环境空气保护目标为南200米的大鸡屋村。本项目运营期间，生产废气主要为生物质锅炉燃烧废气。本项目废气均经治理后达标排放，排放浓度和排放量较低，因此本项目废气排放对周边环境影响可接受。</w:t>
            </w:r>
          </w:p>
          <w:p w14:paraId="30F4D48A">
            <w:pPr>
              <w:pStyle w:val="7"/>
              <w:rPr>
                <w:color w:val="auto"/>
              </w:rPr>
            </w:pPr>
            <w:r>
              <w:rPr>
                <w:rFonts w:hint="eastAsia"/>
                <w:color w:val="auto"/>
              </w:rPr>
              <w:t>二、废水</w:t>
            </w:r>
          </w:p>
          <w:p w14:paraId="6076292C">
            <w:pPr>
              <w:pStyle w:val="3"/>
              <w:ind w:firstLine="482"/>
              <w:rPr>
                <w:b/>
                <w:bCs/>
                <w:color w:val="auto"/>
              </w:rPr>
            </w:pPr>
            <w:r>
              <w:rPr>
                <w:rFonts w:hint="eastAsia"/>
                <w:b/>
                <w:bCs/>
                <w:color w:val="auto"/>
              </w:rPr>
              <w:t>1、废水产生及治理情况</w:t>
            </w:r>
          </w:p>
          <w:p w14:paraId="22E256B6">
            <w:pPr>
              <w:pStyle w:val="3"/>
              <w:ind w:firstLine="480"/>
              <w:rPr>
                <w:color w:val="auto"/>
              </w:rPr>
            </w:pPr>
            <w:r>
              <w:rPr>
                <w:rFonts w:hint="eastAsia"/>
                <w:color w:val="auto"/>
              </w:rPr>
              <w:t>根据建设项目工程分析章节水平衡分析可知：项目</w:t>
            </w:r>
            <w:bookmarkStart w:id="200" w:name="OLE_LINK247"/>
            <w:r>
              <w:rPr>
                <w:rFonts w:hint="eastAsia"/>
                <w:color w:val="auto"/>
              </w:rPr>
              <w:t>运营期主要的废水污染为</w:t>
            </w:r>
            <w:bookmarkStart w:id="201" w:name="OLE_LINK303"/>
            <w:bookmarkStart w:id="202" w:name="OLE_LINK276"/>
            <w:r>
              <w:rPr>
                <w:rFonts w:hint="eastAsia"/>
                <w:color w:val="auto"/>
              </w:rPr>
              <w:t>W1软水制备废水</w:t>
            </w:r>
            <w:bookmarkEnd w:id="201"/>
            <w:bookmarkEnd w:id="202"/>
            <w:r>
              <w:rPr>
                <w:rFonts w:hint="eastAsia"/>
                <w:color w:val="auto"/>
              </w:rPr>
              <w:t>、W2锅炉排污水、W3生活污水。</w:t>
            </w:r>
            <w:bookmarkEnd w:id="200"/>
          </w:p>
          <w:p w14:paraId="25CA3BB3">
            <w:pPr>
              <w:pStyle w:val="3"/>
              <w:ind w:firstLine="480"/>
              <w:rPr>
                <w:color w:val="auto"/>
              </w:rPr>
            </w:pPr>
            <w:r>
              <w:rPr>
                <w:rFonts w:hint="eastAsia"/>
                <w:color w:val="auto"/>
              </w:rPr>
              <w:t>根据水平衡分析，项目</w:t>
            </w:r>
            <w:bookmarkStart w:id="203" w:name="OLE_LINK8"/>
            <w:r>
              <w:rPr>
                <w:rFonts w:hint="eastAsia"/>
                <w:color w:val="auto"/>
              </w:rPr>
              <w:t>W1软水制备废水产生量为42244.00 m</w:t>
            </w:r>
            <w:r>
              <w:rPr>
                <w:rFonts w:hint="eastAsia"/>
                <w:color w:val="auto"/>
                <w:vertAlign w:val="superscript"/>
              </w:rPr>
              <w:t>3</w:t>
            </w:r>
            <w:r>
              <w:rPr>
                <w:rFonts w:hint="eastAsia"/>
                <w:color w:val="auto"/>
              </w:rPr>
              <w:t>/a，W2锅炉排污水量12.00 m</w:t>
            </w:r>
            <w:r>
              <w:rPr>
                <w:rFonts w:hint="eastAsia"/>
                <w:color w:val="auto"/>
                <w:vertAlign w:val="superscript"/>
              </w:rPr>
              <w:t>3</w:t>
            </w:r>
            <w:r>
              <w:rPr>
                <w:rFonts w:hint="eastAsia"/>
                <w:color w:val="auto"/>
              </w:rPr>
              <w:t>/a，生产废水合计总量为42256.00 m</w:t>
            </w:r>
            <w:r>
              <w:rPr>
                <w:rFonts w:hint="eastAsia"/>
                <w:color w:val="auto"/>
                <w:vertAlign w:val="superscript"/>
              </w:rPr>
              <w:t>3</w:t>
            </w:r>
            <w:r>
              <w:rPr>
                <w:rFonts w:hint="eastAsia"/>
                <w:color w:val="auto"/>
              </w:rPr>
              <w:t>/a。</w:t>
            </w:r>
            <w:bookmarkEnd w:id="203"/>
            <w:r>
              <w:rPr>
                <w:rFonts w:hint="eastAsia"/>
                <w:color w:val="auto"/>
              </w:rPr>
              <w:t>生产废水</w:t>
            </w:r>
            <w:bookmarkStart w:id="204" w:name="OLE_LINK15"/>
            <w:r>
              <w:rPr>
                <w:rFonts w:hint="eastAsia"/>
                <w:color w:val="auto"/>
              </w:rPr>
              <w:t>直接经园区污水管网进入大榄坪污水处理厂处理</w:t>
            </w:r>
            <w:bookmarkEnd w:id="204"/>
            <w:r>
              <w:rPr>
                <w:rFonts w:hint="eastAsia"/>
                <w:color w:val="auto"/>
              </w:rPr>
              <w:t>。</w:t>
            </w:r>
          </w:p>
          <w:p w14:paraId="08F7E8D8">
            <w:pPr>
              <w:pStyle w:val="3"/>
              <w:ind w:firstLine="480"/>
              <w:rPr>
                <w:color w:val="auto"/>
              </w:rPr>
            </w:pPr>
            <w:r>
              <w:rPr>
                <w:rFonts w:hint="eastAsia"/>
                <w:color w:val="auto"/>
              </w:rPr>
              <w:t>W3生活污水产生量为</w:t>
            </w:r>
            <w:bookmarkStart w:id="205" w:name="OLE_LINK20"/>
            <w:r>
              <w:rPr>
                <w:rFonts w:hint="eastAsia"/>
                <w:color w:val="auto"/>
              </w:rPr>
              <w:t>264 m</w:t>
            </w:r>
            <w:r>
              <w:rPr>
                <w:rFonts w:hint="eastAsia"/>
                <w:color w:val="auto"/>
                <w:vertAlign w:val="superscript"/>
              </w:rPr>
              <w:t>3</w:t>
            </w:r>
            <w:r>
              <w:rPr>
                <w:rFonts w:hint="eastAsia"/>
                <w:color w:val="auto"/>
              </w:rPr>
              <w:t>/a（0.80 m</w:t>
            </w:r>
            <w:r>
              <w:rPr>
                <w:rFonts w:hint="eastAsia"/>
                <w:color w:val="auto"/>
                <w:vertAlign w:val="superscript"/>
              </w:rPr>
              <w:t>3</w:t>
            </w:r>
            <w:r>
              <w:rPr>
                <w:rFonts w:hint="eastAsia"/>
                <w:color w:val="auto"/>
              </w:rPr>
              <w:t>/d）</w:t>
            </w:r>
            <w:bookmarkEnd w:id="205"/>
            <w:r>
              <w:rPr>
                <w:rFonts w:hint="eastAsia"/>
                <w:color w:val="auto"/>
              </w:rPr>
              <w:t>。生活污水</w:t>
            </w:r>
            <w:bookmarkStart w:id="206" w:name="OLE_LINK66"/>
            <w:r>
              <w:rPr>
                <w:rFonts w:hint="eastAsia"/>
                <w:color w:val="auto"/>
              </w:rPr>
              <w:t>经化粪池处理后</w:t>
            </w:r>
            <w:bookmarkStart w:id="207" w:name="OLE_LINK21"/>
            <w:r>
              <w:rPr>
                <w:rFonts w:hint="eastAsia"/>
                <w:color w:val="auto"/>
              </w:rPr>
              <w:t>经园区污水管网进入大榄坪污水处理厂处理</w:t>
            </w:r>
            <w:bookmarkEnd w:id="206"/>
            <w:r>
              <w:rPr>
                <w:rFonts w:hint="eastAsia"/>
                <w:color w:val="auto"/>
              </w:rPr>
              <w:t>。</w:t>
            </w:r>
            <w:bookmarkEnd w:id="207"/>
          </w:p>
          <w:p w14:paraId="3A0A6168">
            <w:pPr>
              <w:pStyle w:val="49"/>
              <w:rPr>
                <w:color w:val="auto"/>
              </w:rPr>
            </w:pPr>
            <w:bookmarkStart w:id="208" w:name="_Ref173003040"/>
            <w:bookmarkStart w:id="209" w:name="_Ref176946665"/>
            <w:r>
              <w:rPr>
                <w:rFonts w:hint="eastAsia"/>
                <w:color w:val="auto"/>
              </w:rPr>
              <w:t xml:space="preserve">表4- </w:t>
            </w:r>
            <w:r>
              <w:rPr>
                <w:color w:val="auto"/>
              </w:rPr>
              <w:t>7</w:t>
            </w:r>
            <w:bookmarkEnd w:id="208"/>
            <w:r>
              <w:rPr>
                <w:rFonts w:hint="eastAsia"/>
                <w:color w:val="auto"/>
              </w:rPr>
              <w:t>：废水产生治理排放情况一览表</w:t>
            </w:r>
            <w:bookmarkEnd w:id="209"/>
          </w:p>
          <w:tbl>
            <w:tblPr>
              <w:tblStyle w:val="50"/>
              <w:tblW w:w="793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555"/>
              <w:gridCol w:w="1169"/>
              <w:gridCol w:w="968"/>
              <w:gridCol w:w="902"/>
              <w:gridCol w:w="1271"/>
              <w:gridCol w:w="1121"/>
              <w:gridCol w:w="1033"/>
              <w:gridCol w:w="919"/>
            </w:tblGrid>
            <w:tr w14:paraId="4EDCF3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089" w:hRule="atLeast"/>
                <w:jc w:val="center"/>
              </w:trPr>
              <w:tc>
                <w:tcPr>
                  <w:tcW w:w="555" w:type="dxa"/>
                  <w:tcBorders>
                    <w:top w:val="single" w:color="auto" w:sz="12" w:space="0"/>
                    <w:left w:val="nil"/>
                    <w:bottom w:val="single" w:color="auto" w:sz="12" w:space="0"/>
                    <w:right w:val="single" w:color="auto" w:sz="4" w:space="0"/>
                    <w:insideH w:val="single" w:sz="12" w:space="0"/>
                    <w:insideV w:val="single" w:sz="4" w:space="0"/>
                    <w:tl2br w:val="nil"/>
                    <w:tr2bl w:val="nil"/>
                  </w:tcBorders>
                  <w:noWrap/>
                  <w:vAlign w:val="center"/>
                </w:tcPr>
                <w:p w14:paraId="57DD2727">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sz w:val="21"/>
                      <w:szCs w:val="21"/>
                      <w14:ligatures w14:val="standardContextual"/>
                    </w:rPr>
                  </w:pPr>
                  <w:bookmarkStart w:id="210" w:name="_Hlk178502912"/>
                  <w:r>
                    <w:rPr>
                      <w:rFonts w:hint="eastAsia" w:ascii="Times New Roman" w:hAnsi="Times New Roman" w:eastAsia="宋体" w:cs="Times New Roman"/>
                      <w:b/>
                      <w:i w:val="0"/>
                      <w:color w:val="auto"/>
                      <w:sz w:val="21"/>
                      <w:szCs w:val="21"/>
                      <w14:ligatures w14:val="standardContextual"/>
                    </w:rPr>
                    <w:t>类别</w:t>
                  </w:r>
                </w:p>
              </w:tc>
              <w:tc>
                <w:tcPr>
                  <w:tcW w:w="1169" w:type="dxa"/>
                  <w:tcBorders>
                    <w:top w:val="single" w:color="auto" w:sz="12" w:space="0"/>
                    <w:bottom w:val="single" w:color="auto" w:sz="12" w:space="0"/>
                    <w:right w:val="single" w:color="auto" w:sz="4" w:space="0"/>
                    <w:insideH w:val="single" w:sz="12" w:space="0"/>
                    <w:insideV w:val="single" w:sz="4" w:space="0"/>
                    <w:tl2br w:val="nil"/>
                    <w:tr2bl w:val="nil"/>
                  </w:tcBorders>
                  <w:noWrap/>
                  <w:vAlign w:val="center"/>
                </w:tcPr>
                <w:p w14:paraId="5A33D9B5">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sz w:val="21"/>
                      <w:szCs w:val="21"/>
                      <w14:ligatures w14:val="standardContextual"/>
                    </w:rPr>
                  </w:pPr>
                  <w:r>
                    <w:rPr>
                      <w:rFonts w:hint="eastAsia" w:ascii="Times New Roman" w:hAnsi="Times New Roman" w:eastAsia="宋体" w:cs="Times New Roman"/>
                      <w:b/>
                      <w:i w:val="0"/>
                      <w:color w:val="auto"/>
                      <w:sz w:val="21"/>
                      <w:szCs w:val="21"/>
                      <w14:ligatures w14:val="standardContextual"/>
                    </w:rPr>
                    <w:t>污染物种类</w:t>
                  </w:r>
                </w:p>
              </w:tc>
              <w:tc>
                <w:tcPr>
                  <w:tcW w:w="968" w:type="dxa"/>
                  <w:tcBorders>
                    <w:top w:val="single" w:color="auto" w:sz="12" w:space="0"/>
                    <w:bottom w:val="single" w:color="auto" w:sz="12" w:space="0"/>
                    <w:right w:val="single" w:color="auto" w:sz="4" w:space="0"/>
                    <w:insideH w:val="single" w:sz="12" w:space="0"/>
                    <w:insideV w:val="single" w:sz="4" w:space="0"/>
                    <w:tl2br w:val="nil"/>
                    <w:tr2bl w:val="nil"/>
                  </w:tcBorders>
                  <w:noWrap/>
                  <w:vAlign w:val="center"/>
                </w:tcPr>
                <w:p w14:paraId="1233ED18">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sz w:val="21"/>
                      <w:szCs w:val="21"/>
                      <w14:ligatures w14:val="standardContextual"/>
                    </w:rPr>
                  </w:pPr>
                  <w:r>
                    <w:rPr>
                      <w:rFonts w:hint="eastAsia" w:ascii="Times New Roman" w:hAnsi="Times New Roman" w:eastAsia="宋体" w:cs="Times New Roman"/>
                      <w:b/>
                      <w:i w:val="0"/>
                      <w:color w:val="auto"/>
                      <w:sz w:val="21"/>
                      <w:szCs w:val="21"/>
                      <w14:ligatures w14:val="standardContextual"/>
                    </w:rPr>
                    <w:t>产生浓度(</w:t>
                  </w:r>
                  <w:r>
                    <w:rPr>
                      <w:rFonts w:hint="default" w:ascii="Times New Roman" w:hAnsi="Times New Roman" w:eastAsia="宋体" w:cs="Times New Roman"/>
                      <w:b/>
                      <w:i w:val="0"/>
                      <w:color w:val="auto"/>
                      <w:sz w:val="21"/>
                      <w:szCs w:val="21"/>
                      <w14:ligatures w14:val="standardContextual"/>
                    </w:rPr>
                    <w:t>mg/</w:t>
                  </w:r>
                  <w:r>
                    <w:rPr>
                      <w:rFonts w:hint="eastAsia" w:ascii="Times New Roman" w:hAnsi="Times New Roman" w:eastAsia="宋体" w:cs="Times New Roman"/>
                      <w:b/>
                      <w:i w:val="0"/>
                      <w:color w:val="auto"/>
                      <w:sz w:val="21"/>
                      <w:szCs w:val="21"/>
                      <w14:ligatures w14:val="standardContextual"/>
                    </w:rPr>
                    <w:t>L)</w:t>
                  </w:r>
                </w:p>
              </w:tc>
              <w:tc>
                <w:tcPr>
                  <w:tcW w:w="902" w:type="dxa"/>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6D1B5A41">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sz w:val="21"/>
                      <w:szCs w:val="21"/>
                      <w14:ligatures w14:val="standardContextual"/>
                    </w:rPr>
                  </w:pPr>
                  <w:r>
                    <w:rPr>
                      <w:rFonts w:hint="eastAsia" w:ascii="Times New Roman" w:hAnsi="Times New Roman" w:eastAsia="宋体" w:cs="Times New Roman"/>
                      <w:b/>
                      <w:i w:val="0"/>
                      <w:color w:val="auto"/>
                      <w:sz w:val="21"/>
                      <w:szCs w:val="21"/>
                      <w14:ligatures w14:val="standardContextual"/>
                    </w:rPr>
                    <w:t>产生量（</w:t>
                  </w:r>
                  <w:r>
                    <w:rPr>
                      <w:rFonts w:hint="default" w:ascii="Times New Roman" w:hAnsi="Times New Roman" w:eastAsia="宋体" w:cs="Times New Roman"/>
                      <w:b/>
                      <w:i w:val="0"/>
                      <w:color w:val="auto"/>
                      <w:sz w:val="21"/>
                      <w:szCs w:val="21"/>
                      <w14:ligatures w14:val="standardContextual"/>
                    </w:rPr>
                    <w:t>t/a</w:t>
                  </w:r>
                  <w:r>
                    <w:rPr>
                      <w:rFonts w:hint="eastAsia" w:ascii="Times New Roman" w:hAnsi="Times New Roman" w:eastAsia="宋体" w:cs="Times New Roman"/>
                      <w:b/>
                      <w:i w:val="0"/>
                      <w:color w:val="auto"/>
                      <w:sz w:val="21"/>
                      <w:szCs w:val="21"/>
                      <w14:ligatures w14:val="standardContextual"/>
                    </w:rPr>
                    <w:t>）</w:t>
                  </w:r>
                </w:p>
              </w:tc>
              <w:tc>
                <w:tcPr>
                  <w:tcW w:w="1271" w:type="dxa"/>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4D6253B8">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sz w:val="21"/>
                      <w:szCs w:val="21"/>
                      <w14:ligatures w14:val="standardContextual"/>
                    </w:rPr>
                  </w:pPr>
                  <w:r>
                    <w:rPr>
                      <w:rFonts w:hint="eastAsia" w:ascii="Times New Roman" w:hAnsi="Times New Roman" w:eastAsia="宋体" w:cs="Times New Roman"/>
                      <w:b/>
                      <w:i w:val="0"/>
                      <w:color w:val="auto"/>
                      <w:sz w:val="21"/>
                      <w:szCs w:val="21"/>
                      <w14:ligatures w14:val="standardContextual"/>
                    </w:rPr>
                    <w:t>治理设施及效率</w:t>
                  </w:r>
                </w:p>
              </w:tc>
              <w:tc>
                <w:tcPr>
                  <w:tcW w:w="1121" w:type="dxa"/>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3D7587F9">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sz w:val="21"/>
                      <w:szCs w:val="21"/>
                      <w14:ligatures w14:val="standardContextual"/>
                    </w:rPr>
                  </w:pPr>
                  <w:r>
                    <w:rPr>
                      <w:rFonts w:hint="eastAsia" w:ascii="Times New Roman" w:hAnsi="Times New Roman" w:eastAsia="宋体" w:cs="Times New Roman"/>
                      <w:b/>
                      <w:i w:val="0"/>
                      <w:color w:val="auto"/>
                      <w:sz w:val="21"/>
                      <w:szCs w:val="21"/>
                      <w14:ligatures w14:val="standardContextual"/>
                    </w:rPr>
                    <w:t>排放浓度（</w:t>
                  </w:r>
                  <w:r>
                    <w:rPr>
                      <w:rFonts w:hint="default" w:ascii="Times New Roman" w:hAnsi="Times New Roman" w:eastAsia="宋体" w:cs="Times New Roman"/>
                      <w:b/>
                      <w:i w:val="0"/>
                      <w:color w:val="auto"/>
                      <w:sz w:val="21"/>
                      <w:szCs w:val="21"/>
                      <w14:ligatures w14:val="standardContextual"/>
                    </w:rPr>
                    <w:t>mg/</w:t>
                  </w:r>
                  <w:r>
                    <w:rPr>
                      <w:rFonts w:hint="eastAsia" w:ascii="Times New Roman" w:hAnsi="Times New Roman" w:eastAsia="宋体" w:cs="Times New Roman"/>
                      <w:b/>
                      <w:i w:val="0"/>
                      <w:color w:val="auto"/>
                      <w:sz w:val="21"/>
                      <w:szCs w:val="21"/>
                      <w14:ligatures w14:val="standardContextual"/>
                    </w:rPr>
                    <w:t>L）</w:t>
                  </w:r>
                </w:p>
              </w:tc>
              <w:tc>
                <w:tcPr>
                  <w:tcW w:w="1033" w:type="dxa"/>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60EE36A5">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sz w:val="21"/>
                      <w:szCs w:val="21"/>
                      <w14:ligatures w14:val="standardContextual"/>
                    </w:rPr>
                  </w:pPr>
                  <w:r>
                    <w:rPr>
                      <w:rFonts w:hint="eastAsia" w:ascii="Times New Roman" w:hAnsi="Times New Roman" w:eastAsia="宋体" w:cs="Times New Roman"/>
                      <w:b/>
                      <w:i w:val="0"/>
                      <w:color w:val="auto"/>
                      <w:sz w:val="21"/>
                      <w:szCs w:val="21"/>
                      <w14:ligatures w14:val="standardContextual"/>
                    </w:rPr>
                    <w:t>排放量（</w:t>
                  </w:r>
                  <w:r>
                    <w:rPr>
                      <w:rFonts w:hint="default" w:ascii="Times New Roman" w:hAnsi="Times New Roman" w:eastAsia="宋体" w:cs="Times New Roman"/>
                      <w:b/>
                      <w:i w:val="0"/>
                      <w:color w:val="auto"/>
                      <w:sz w:val="21"/>
                      <w:szCs w:val="21"/>
                      <w14:ligatures w14:val="standardContextual"/>
                    </w:rPr>
                    <w:t>t/a</w:t>
                  </w:r>
                  <w:r>
                    <w:rPr>
                      <w:rFonts w:hint="eastAsia" w:ascii="Times New Roman" w:hAnsi="Times New Roman" w:eastAsia="宋体" w:cs="Times New Roman"/>
                      <w:b/>
                      <w:i w:val="0"/>
                      <w:color w:val="auto"/>
                      <w:sz w:val="21"/>
                      <w:szCs w:val="21"/>
                      <w14:ligatures w14:val="standardContextual"/>
                    </w:rPr>
                    <w:t>）</w:t>
                  </w:r>
                </w:p>
              </w:tc>
              <w:tc>
                <w:tcPr>
                  <w:tcW w:w="919" w:type="dxa"/>
                  <w:tcBorders>
                    <w:top w:val="single" w:color="auto" w:sz="12" w:space="0"/>
                    <w:bottom w:val="single" w:color="auto" w:sz="12" w:space="0"/>
                    <w:right w:val="nil"/>
                    <w:insideH w:val="single" w:sz="12" w:space="0"/>
                    <w:insideV w:val="single" w:sz="4" w:space="0"/>
                    <w:tl2br w:val="nil"/>
                    <w:tr2bl w:val="nil"/>
                  </w:tcBorders>
                  <w:vAlign w:val="center"/>
                </w:tcPr>
                <w:p w14:paraId="2DB333F4">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sz w:val="21"/>
                      <w:szCs w:val="21"/>
                      <w14:ligatures w14:val="standardContextual"/>
                    </w:rPr>
                  </w:pPr>
                  <w:r>
                    <w:rPr>
                      <w:rFonts w:hint="eastAsia" w:ascii="Times New Roman" w:hAnsi="Times New Roman" w:eastAsia="宋体" w:cs="Times New Roman"/>
                      <w:b/>
                      <w:i w:val="0"/>
                      <w:color w:val="auto"/>
                      <w:sz w:val="21"/>
                      <w:szCs w:val="21"/>
                      <w14:ligatures w14:val="standardContextual"/>
                    </w:rPr>
                    <w:t>排放标准</w:t>
                  </w:r>
                </w:p>
              </w:tc>
            </w:tr>
            <w:tr w14:paraId="2192E4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555" w:type="dxa"/>
                  <w:vMerge w:val="restart"/>
                  <w:noWrap/>
                  <w:vAlign w:val="center"/>
                </w:tcPr>
                <w:p w14:paraId="3B22D548">
                  <w:pPr>
                    <w:widowControl w:val="0"/>
                    <w:overflowPunct w:val="0"/>
                    <w:autoSpaceDE w:val="0"/>
                    <w:autoSpaceDN w:val="0"/>
                    <w:snapToGrid w:val="0"/>
                    <w:jc w:val="center"/>
                    <w:rPr>
                      <w:color w:val="auto"/>
                      <w14:ligatures w14:val="standardContextual"/>
                    </w:rPr>
                  </w:pPr>
                  <w:r>
                    <w:rPr>
                      <w:rFonts w:hint="eastAsia"/>
                      <w:color w:val="auto"/>
                      <w14:ligatures w14:val="standardContextual"/>
                    </w:rPr>
                    <w:t>生产废水</w:t>
                  </w:r>
                </w:p>
              </w:tc>
              <w:tc>
                <w:tcPr>
                  <w:tcW w:w="1169" w:type="dxa"/>
                  <w:noWrap/>
                  <w:vAlign w:val="center"/>
                </w:tcPr>
                <w:p w14:paraId="425CFDCD">
                  <w:pPr>
                    <w:widowControl w:val="0"/>
                    <w:overflowPunct w:val="0"/>
                    <w:autoSpaceDE w:val="0"/>
                    <w:autoSpaceDN w:val="0"/>
                    <w:snapToGrid w:val="0"/>
                    <w:jc w:val="center"/>
                    <w:rPr>
                      <w:color w:val="auto"/>
                      <w:u w:val="single"/>
                      <w14:ligatures w14:val="standardContextual"/>
                    </w:rPr>
                  </w:pPr>
                  <w:r>
                    <w:rPr>
                      <w:rFonts w:hint="eastAsia"/>
                      <w:color w:val="auto"/>
                      <w:u w:val="single"/>
                      <w14:ligatures w14:val="standardContextual"/>
                    </w:rPr>
                    <w:t>水量</w:t>
                  </w:r>
                </w:p>
              </w:tc>
              <w:tc>
                <w:tcPr>
                  <w:tcW w:w="968" w:type="dxa"/>
                  <w:noWrap/>
                  <w:vAlign w:val="center"/>
                </w:tcPr>
                <w:p w14:paraId="048188BA">
                  <w:pPr>
                    <w:widowControl w:val="0"/>
                    <w:overflowPunct w:val="0"/>
                    <w:autoSpaceDE w:val="0"/>
                    <w:autoSpaceDN w:val="0"/>
                    <w:snapToGrid w:val="0"/>
                    <w:jc w:val="center"/>
                    <w:rPr>
                      <w:color w:val="auto"/>
                      <w:u w:val="single"/>
                      <w14:ligatures w14:val="standardContextual"/>
                    </w:rPr>
                  </w:pPr>
                  <w:r>
                    <w:rPr>
                      <w:color w:val="auto"/>
                      <w:u w:val="single"/>
                      <w14:ligatures w14:val="standardContextual"/>
                    </w:rPr>
                    <w:t>/</w:t>
                  </w:r>
                </w:p>
              </w:tc>
              <w:tc>
                <w:tcPr>
                  <w:tcW w:w="902" w:type="dxa"/>
                  <w:noWrap/>
                  <w:vAlign w:val="center"/>
                </w:tcPr>
                <w:p w14:paraId="78670695">
                  <w:pPr>
                    <w:widowControl w:val="0"/>
                    <w:overflowPunct w:val="0"/>
                    <w:autoSpaceDE w:val="0"/>
                    <w:autoSpaceDN w:val="0"/>
                    <w:snapToGrid w:val="0"/>
                    <w:jc w:val="center"/>
                    <w:rPr>
                      <w:color w:val="auto"/>
                      <w:u w:val="single"/>
                      <w14:ligatures w14:val="standardContextual"/>
                    </w:rPr>
                  </w:pPr>
                  <w:r>
                    <w:rPr>
                      <w:color w:val="auto"/>
                      <w:u w:val="single"/>
                      <w14:ligatures w14:val="standardContextual"/>
                    </w:rPr>
                    <w:t>42256</w:t>
                  </w:r>
                </w:p>
              </w:tc>
              <w:tc>
                <w:tcPr>
                  <w:tcW w:w="1271" w:type="dxa"/>
                  <w:noWrap/>
                  <w:vAlign w:val="center"/>
                </w:tcPr>
                <w:p w14:paraId="2374791E">
                  <w:pPr>
                    <w:widowControl w:val="0"/>
                    <w:overflowPunct w:val="0"/>
                    <w:autoSpaceDE w:val="0"/>
                    <w:autoSpaceDN w:val="0"/>
                    <w:snapToGrid w:val="0"/>
                    <w:jc w:val="center"/>
                    <w:rPr>
                      <w:color w:val="auto"/>
                      <w:u w:val="single"/>
                      <w14:ligatures w14:val="standardContextual"/>
                    </w:rPr>
                  </w:pPr>
                  <w:r>
                    <w:rPr>
                      <w:rFonts w:hint="eastAsia"/>
                      <w:color w:val="auto"/>
                      <w:u w:val="single"/>
                      <w14:ligatures w14:val="standardContextual"/>
                    </w:rPr>
                    <w:t>/</w:t>
                  </w:r>
                </w:p>
              </w:tc>
              <w:tc>
                <w:tcPr>
                  <w:tcW w:w="1121" w:type="dxa"/>
                  <w:vAlign w:val="center"/>
                </w:tcPr>
                <w:p w14:paraId="1B1DC210">
                  <w:pPr>
                    <w:widowControl w:val="0"/>
                    <w:overflowPunct w:val="0"/>
                    <w:autoSpaceDE w:val="0"/>
                    <w:autoSpaceDN w:val="0"/>
                    <w:snapToGrid w:val="0"/>
                    <w:jc w:val="center"/>
                    <w:rPr>
                      <w:color w:val="auto"/>
                      <w:u w:val="single"/>
                      <w14:ligatures w14:val="standardContextual"/>
                    </w:rPr>
                  </w:pPr>
                  <w:r>
                    <w:rPr>
                      <w:color w:val="auto"/>
                      <w:u w:val="single"/>
                      <w14:ligatures w14:val="standardContextual"/>
                    </w:rPr>
                    <w:t>/</w:t>
                  </w:r>
                </w:p>
              </w:tc>
              <w:tc>
                <w:tcPr>
                  <w:tcW w:w="1033" w:type="dxa"/>
                  <w:vAlign w:val="center"/>
                </w:tcPr>
                <w:p w14:paraId="5FAAA652">
                  <w:pPr>
                    <w:widowControl w:val="0"/>
                    <w:overflowPunct w:val="0"/>
                    <w:autoSpaceDE w:val="0"/>
                    <w:autoSpaceDN w:val="0"/>
                    <w:snapToGrid w:val="0"/>
                    <w:jc w:val="center"/>
                    <w:rPr>
                      <w:color w:val="auto"/>
                      <w:u w:val="single"/>
                      <w14:ligatures w14:val="standardContextual"/>
                    </w:rPr>
                  </w:pPr>
                  <w:r>
                    <w:rPr>
                      <w:color w:val="auto"/>
                      <w:u w:val="single"/>
                      <w14:ligatures w14:val="standardContextual"/>
                    </w:rPr>
                    <w:t>42256</w:t>
                  </w:r>
                </w:p>
              </w:tc>
              <w:tc>
                <w:tcPr>
                  <w:tcW w:w="919" w:type="dxa"/>
                  <w:vAlign w:val="center"/>
                </w:tcPr>
                <w:p w14:paraId="30BB6EB5">
                  <w:pPr>
                    <w:widowControl w:val="0"/>
                    <w:overflowPunct w:val="0"/>
                    <w:autoSpaceDE w:val="0"/>
                    <w:autoSpaceDN w:val="0"/>
                    <w:snapToGrid w:val="0"/>
                    <w:jc w:val="center"/>
                    <w:rPr>
                      <w:color w:val="auto"/>
                      <w14:ligatures w14:val="standardContextual"/>
                    </w:rPr>
                  </w:pPr>
                  <w:r>
                    <w:rPr>
                      <w:color w:val="auto"/>
                      <w14:ligatures w14:val="standardContextual"/>
                    </w:rPr>
                    <w:t>/</w:t>
                  </w:r>
                </w:p>
              </w:tc>
            </w:tr>
            <w:tr w14:paraId="11BCB4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555" w:type="dxa"/>
                  <w:vMerge w:val="continue"/>
                  <w:vAlign w:val="center"/>
                </w:tcPr>
                <w:p w14:paraId="6DAF03D6">
                  <w:pPr>
                    <w:widowControl w:val="0"/>
                    <w:overflowPunct w:val="0"/>
                    <w:autoSpaceDE w:val="0"/>
                    <w:autoSpaceDN w:val="0"/>
                    <w:snapToGrid w:val="0"/>
                    <w:jc w:val="center"/>
                    <w:rPr>
                      <w:color w:val="auto"/>
                      <w14:ligatures w14:val="standardContextual"/>
                    </w:rPr>
                  </w:pPr>
                </w:p>
              </w:tc>
              <w:tc>
                <w:tcPr>
                  <w:tcW w:w="1169" w:type="dxa"/>
                  <w:noWrap/>
                  <w:vAlign w:val="center"/>
                </w:tcPr>
                <w:p w14:paraId="6E330ABF">
                  <w:pPr>
                    <w:widowControl w:val="0"/>
                    <w:overflowPunct w:val="0"/>
                    <w:autoSpaceDE w:val="0"/>
                    <w:autoSpaceDN w:val="0"/>
                    <w:snapToGrid w:val="0"/>
                    <w:jc w:val="center"/>
                    <w:rPr>
                      <w:color w:val="auto"/>
                      <w:u w:val="single"/>
                      <w14:ligatures w14:val="standardContextual"/>
                    </w:rPr>
                  </w:pPr>
                  <w:r>
                    <w:rPr>
                      <w:color w:val="auto"/>
                      <w:u w:val="single"/>
                      <w14:ligatures w14:val="standardContextual"/>
                    </w:rPr>
                    <w:t>COD</w:t>
                  </w:r>
                </w:p>
              </w:tc>
              <w:tc>
                <w:tcPr>
                  <w:tcW w:w="968" w:type="dxa"/>
                  <w:noWrap/>
                  <w:vAlign w:val="center"/>
                </w:tcPr>
                <w:p w14:paraId="373031B5">
                  <w:pPr>
                    <w:widowControl w:val="0"/>
                    <w:overflowPunct w:val="0"/>
                    <w:autoSpaceDE w:val="0"/>
                    <w:autoSpaceDN w:val="0"/>
                    <w:snapToGrid w:val="0"/>
                    <w:jc w:val="center"/>
                    <w:rPr>
                      <w:color w:val="auto"/>
                      <w:u w:val="single"/>
                      <w14:ligatures w14:val="standardContextual"/>
                    </w:rPr>
                  </w:pPr>
                  <w:r>
                    <w:rPr>
                      <w:color w:val="auto"/>
                      <w:u w:val="single"/>
                      <w14:ligatures w14:val="standardContextual"/>
                    </w:rPr>
                    <w:t>200</w:t>
                  </w:r>
                </w:p>
              </w:tc>
              <w:tc>
                <w:tcPr>
                  <w:tcW w:w="902" w:type="dxa"/>
                  <w:noWrap/>
                  <w:vAlign w:val="center"/>
                </w:tcPr>
                <w:p w14:paraId="4EEFAB05">
                  <w:pPr>
                    <w:widowControl w:val="0"/>
                    <w:overflowPunct w:val="0"/>
                    <w:autoSpaceDE w:val="0"/>
                    <w:autoSpaceDN w:val="0"/>
                    <w:snapToGrid w:val="0"/>
                    <w:jc w:val="center"/>
                    <w:rPr>
                      <w:color w:val="auto"/>
                      <w:u w:val="single"/>
                      <w14:ligatures w14:val="standardContextual"/>
                    </w:rPr>
                  </w:pPr>
                  <w:r>
                    <w:rPr>
                      <w:color w:val="auto"/>
                      <w:u w:val="single"/>
                      <w14:ligatures w14:val="standardContextual"/>
                    </w:rPr>
                    <w:t>8.451</w:t>
                  </w:r>
                </w:p>
              </w:tc>
              <w:tc>
                <w:tcPr>
                  <w:tcW w:w="1271" w:type="dxa"/>
                  <w:noWrap/>
                  <w:vAlign w:val="center"/>
                </w:tcPr>
                <w:p w14:paraId="5B80B67B">
                  <w:pPr>
                    <w:widowControl w:val="0"/>
                    <w:overflowPunct w:val="0"/>
                    <w:autoSpaceDE w:val="0"/>
                    <w:autoSpaceDN w:val="0"/>
                    <w:snapToGrid w:val="0"/>
                    <w:jc w:val="center"/>
                    <w:rPr>
                      <w:color w:val="auto"/>
                      <w:u w:val="single"/>
                      <w14:ligatures w14:val="standardContextual"/>
                    </w:rPr>
                  </w:pPr>
                  <w:r>
                    <w:rPr>
                      <w:rFonts w:hint="eastAsia"/>
                      <w:color w:val="auto"/>
                      <w:u w:val="single"/>
                      <w14:ligatures w14:val="standardContextual"/>
                    </w:rPr>
                    <w:t>/</w:t>
                  </w:r>
                </w:p>
              </w:tc>
              <w:tc>
                <w:tcPr>
                  <w:tcW w:w="1121" w:type="dxa"/>
                  <w:vAlign w:val="center"/>
                </w:tcPr>
                <w:p w14:paraId="459791F3">
                  <w:pPr>
                    <w:widowControl w:val="0"/>
                    <w:overflowPunct w:val="0"/>
                    <w:autoSpaceDE w:val="0"/>
                    <w:autoSpaceDN w:val="0"/>
                    <w:snapToGrid w:val="0"/>
                    <w:jc w:val="center"/>
                    <w:rPr>
                      <w:color w:val="auto"/>
                      <w:u w:val="single"/>
                      <w14:ligatures w14:val="standardContextual"/>
                    </w:rPr>
                  </w:pPr>
                  <w:r>
                    <w:rPr>
                      <w:color w:val="auto"/>
                      <w:u w:val="single"/>
                      <w14:ligatures w14:val="standardContextual"/>
                    </w:rPr>
                    <w:t>200.0</w:t>
                  </w:r>
                </w:p>
              </w:tc>
              <w:tc>
                <w:tcPr>
                  <w:tcW w:w="1033" w:type="dxa"/>
                  <w:vAlign w:val="center"/>
                </w:tcPr>
                <w:p w14:paraId="62C70100">
                  <w:pPr>
                    <w:widowControl w:val="0"/>
                    <w:overflowPunct w:val="0"/>
                    <w:autoSpaceDE w:val="0"/>
                    <w:autoSpaceDN w:val="0"/>
                    <w:snapToGrid w:val="0"/>
                    <w:jc w:val="center"/>
                    <w:rPr>
                      <w:color w:val="auto"/>
                      <w:u w:val="single"/>
                      <w14:ligatures w14:val="standardContextual"/>
                    </w:rPr>
                  </w:pPr>
                  <w:r>
                    <w:rPr>
                      <w:color w:val="auto"/>
                      <w:u w:val="single"/>
                      <w14:ligatures w14:val="standardContextual"/>
                    </w:rPr>
                    <w:t>8.451</w:t>
                  </w:r>
                </w:p>
              </w:tc>
              <w:tc>
                <w:tcPr>
                  <w:tcW w:w="919" w:type="dxa"/>
                  <w:vAlign w:val="center"/>
                </w:tcPr>
                <w:p w14:paraId="077E4228">
                  <w:pPr>
                    <w:widowControl w:val="0"/>
                    <w:overflowPunct w:val="0"/>
                    <w:autoSpaceDE w:val="0"/>
                    <w:autoSpaceDN w:val="0"/>
                    <w:snapToGrid w:val="0"/>
                    <w:jc w:val="center"/>
                    <w:rPr>
                      <w:color w:val="auto"/>
                      <w14:ligatures w14:val="standardContextual"/>
                    </w:rPr>
                  </w:pPr>
                  <w:bookmarkStart w:id="211" w:name="OLE_LINK4"/>
                  <w:r>
                    <w:rPr>
                      <w:color w:val="auto"/>
                      <w14:ligatures w14:val="standardContextual"/>
                    </w:rPr>
                    <w:t>500</w:t>
                  </w:r>
                  <w:bookmarkEnd w:id="211"/>
                </w:p>
              </w:tc>
            </w:tr>
            <w:tr w14:paraId="125C26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555" w:type="dxa"/>
                  <w:vMerge w:val="continue"/>
                  <w:vAlign w:val="center"/>
                </w:tcPr>
                <w:p w14:paraId="4FB4946B">
                  <w:pPr>
                    <w:widowControl w:val="0"/>
                    <w:overflowPunct w:val="0"/>
                    <w:autoSpaceDE w:val="0"/>
                    <w:autoSpaceDN w:val="0"/>
                    <w:snapToGrid w:val="0"/>
                    <w:jc w:val="center"/>
                    <w:rPr>
                      <w:color w:val="auto"/>
                      <w14:ligatures w14:val="standardContextual"/>
                    </w:rPr>
                  </w:pPr>
                </w:p>
              </w:tc>
              <w:tc>
                <w:tcPr>
                  <w:tcW w:w="1169" w:type="dxa"/>
                  <w:noWrap/>
                  <w:vAlign w:val="center"/>
                </w:tcPr>
                <w:p w14:paraId="5DAE9DF1">
                  <w:pPr>
                    <w:widowControl w:val="0"/>
                    <w:overflowPunct w:val="0"/>
                    <w:autoSpaceDE w:val="0"/>
                    <w:autoSpaceDN w:val="0"/>
                    <w:snapToGrid w:val="0"/>
                    <w:jc w:val="center"/>
                    <w:rPr>
                      <w:color w:val="auto"/>
                      <w:u w:val="single"/>
                      <w14:ligatures w14:val="standardContextual"/>
                    </w:rPr>
                  </w:pPr>
                  <w:r>
                    <w:rPr>
                      <w:rFonts w:hint="eastAsia"/>
                      <w:color w:val="auto"/>
                      <w:u w:val="single"/>
                      <w14:ligatures w14:val="standardContextual"/>
                    </w:rPr>
                    <w:t>氨氮</w:t>
                  </w:r>
                </w:p>
              </w:tc>
              <w:tc>
                <w:tcPr>
                  <w:tcW w:w="968" w:type="dxa"/>
                  <w:noWrap/>
                  <w:vAlign w:val="center"/>
                </w:tcPr>
                <w:p w14:paraId="0EEE14EC">
                  <w:pPr>
                    <w:widowControl w:val="0"/>
                    <w:overflowPunct w:val="0"/>
                    <w:autoSpaceDE w:val="0"/>
                    <w:autoSpaceDN w:val="0"/>
                    <w:snapToGrid w:val="0"/>
                    <w:jc w:val="center"/>
                    <w:rPr>
                      <w:color w:val="auto"/>
                      <w:u w:val="single"/>
                      <w14:ligatures w14:val="standardContextual"/>
                    </w:rPr>
                  </w:pPr>
                  <w:r>
                    <w:rPr>
                      <w:color w:val="auto"/>
                      <w:u w:val="single"/>
                      <w14:ligatures w14:val="standardContextual"/>
                    </w:rPr>
                    <w:t>20</w:t>
                  </w:r>
                </w:p>
              </w:tc>
              <w:tc>
                <w:tcPr>
                  <w:tcW w:w="902" w:type="dxa"/>
                  <w:noWrap/>
                  <w:vAlign w:val="center"/>
                </w:tcPr>
                <w:p w14:paraId="5EA56A90">
                  <w:pPr>
                    <w:widowControl w:val="0"/>
                    <w:overflowPunct w:val="0"/>
                    <w:autoSpaceDE w:val="0"/>
                    <w:autoSpaceDN w:val="0"/>
                    <w:snapToGrid w:val="0"/>
                    <w:jc w:val="center"/>
                    <w:rPr>
                      <w:color w:val="auto"/>
                      <w:u w:val="single"/>
                      <w14:ligatures w14:val="standardContextual"/>
                    </w:rPr>
                  </w:pPr>
                  <w:r>
                    <w:rPr>
                      <w:color w:val="auto"/>
                      <w:u w:val="single"/>
                      <w14:ligatures w14:val="standardContextual"/>
                    </w:rPr>
                    <w:t>0.845</w:t>
                  </w:r>
                </w:p>
              </w:tc>
              <w:tc>
                <w:tcPr>
                  <w:tcW w:w="1271" w:type="dxa"/>
                  <w:noWrap/>
                  <w:vAlign w:val="center"/>
                </w:tcPr>
                <w:p w14:paraId="0AF6056F">
                  <w:pPr>
                    <w:widowControl w:val="0"/>
                    <w:overflowPunct w:val="0"/>
                    <w:autoSpaceDE w:val="0"/>
                    <w:autoSpaceDN w:val="0"/>
                    <w:snapToGrid w:val="0"/>
                    <w:jc w:val="center"/>
                    <w:rPr>
                      <w:color w:val="auto"/>
                      <w:u w:val="single"/>
                      <w14:ligatures w14:val="standardContextual"/>
                    </w:rPr>
                  </w:pPr>
                  <w:r>
                    <w:rPr>
                      <w:rFonts w:hint="eastAsia"/>
                      <w:color w:val="auto"/>
                      <w:u w:val="single"/>
                      <w14:ligatures w14:val="standardContextual"/>
                    </w:rPr>
                    <w:t>/</w:t>
                  </w:r>
                </w:p>
              </w:tc>
              <w:tc>
                <w:tcPr>
                  <w:tcW w:w="1121" w:type="dxa"/>
                  <w:vAlign w:val="center"/>
                </w:tcPr>
                <w:p w14:paraId="49715F71">
                  <w:pPr>
                    <w:widowControl w:val="0"/>
                    <w:overflowPunct w:val="0"/>
                    <w:autoSpaceDE w:val="0"/>
                    <w:autoSpaceDN w:val="0"/>
                    <w:snapToGrid w:val="0"/>
                    <w:jc w:val="center"/>
                    <w:rPr>
                      <w:color w:val="auto"/>
                      <w:u w:val="single"/>
                      <w14:ligatures w14:val="standardContextual"/>
                    </w:rPr>
                  </w:pPr>
                  <w:r>
                    <w:rPr>
                      <w:color w:val="auto"/>
                      <w:u w:val="single"/>
                      <w14:ligatures w14:val="standardContextual"/>
                    </w:rPr>
                    <w:t>20.0</w:t>
                  </w:r>
                </w:p>
              </w:tc>
              <w:tc>
                <w:tcPr>
                  <w:tcW w:w="1033" w:type="dxa"/>
                  <w:vAlign w:val="center"/>
                </w:tcPr>
                <w:p w14:paraId="1D675DF3">
                  <w:pPr>
                    <w:widowControl w:val="0"/>
                    <w:overflowPunct w:val="0"/>
                    <w:autoSpaceDE w:val="0"/>
                    <w:autoSpaceDN w:val="0"/>
                    <w:snapToGrid w:val="0"/>
                    <w:jc w:val="center"/>
                    <w:rPr>
                      <w:color w:val="auto"/>
                      <w:u w:val="single"/>
                      <w14:ligatures w14:val="standardContextual"/>
                    </w:rPr>
                  </w:pPr>
                  <w:r>
                    <w:rPr>
                      <w:color w:val="auto"/>
                      <w:u w:val="single"/>
                      <w14:ligatures w14:val="standardContextual"/>
                    </w:rPr>
                    <w:t>0.845</w:t>
                  </w:r>
                </w:p>
              </w:tc>
              <w:tc>
                <w:tcPr>
                  <w:tcW w:w="919" w:type="dxa"/>
                  <w:vAlign w:val="center"/>
                </w:tcPr>
                <w:p w14:paraId="218BFC56">
                  <w:pPr>
                    <w:widowControl w:val="0"/>
                    <w:overflowPunct w:val="0"/>
                    <w:autoSpaceDE w:val="0"/>
                    <w:autoSpaceDN w:val="0"/>
                    <w:snapToGrid w:val="0"/>
                    <w:jc w:val="center"/>
                    <w:rPr>
                      <w:color w:val="auto"/>
                      <w14:ligatures w14:val="standardContextual"/>
                    </w:rPr>
                  </w:pPr>
                  <w:r>
                    <w:rPr>
                      <w:rFonts w:hint="eastAsia"/>
                      <w:color w:val="auto"/>
                      <w14:ligatures w14:val="standardContextual"/>
                    </w:rPr>
                    <w:t>35</w:t>
                  </w:r>
                </w:p>
              </w:tc>
            </w:tr>
            <w:tr w14:paraId="361F32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555" w:type="dxa"/>
                  <w:vMerge w:val="continue"/>
                  <w:vAlign w:val="center"/>
                </w:tcPr>
                <w:p w14:paraId="3D1CBFC4">
                  <w:pPr>
                    <w:widowControl w:val="0"/>
                    <w:overflowPunct w:val="0"/>
                    <w:autoSpaceDE w:val="0"/>
                    <w:autoSpaceDN w:val="0"/>
                    <w:snapToGrid w:val="0"/>
                    <w:jc w:val="center"/>
                    <w:rPr>
                      <w:color w:val="auto"/>
                      <w14:ligatures w14:val="standardContextual"/>
                    </w:rPr>
                  </w:pPr>
                </w:p>
              </w:tc>
              <w:tc>
                <w:tcPr>
                  <w:tcW w:w="1169" w:type="dxa"/>
                  <w:noWrap/>
                  <w:vAlign w:val="center"/>
                </w:tcPr>
                <w:p w14:paraId="12F5A38A">
                  <w:pPr>
                    <w:widowControl w:val="0"/>
                    <w:overflowPunct w:val="0"/>
                    <w:autoSpaceDE w:val="0"/>
                    <w:autoSpaceDN w:val="0"/>
                    <w:snapToGrid w:val="0"/>
                    <w:jc w:val="center"/>
                    <w:rPr>
                      <w:color w:val="auto"/>
                      <w:u w:val="single"/>
                      <w14:ligatures w14:val="standardContextual"/>
                    </w:rPr>
                  </w:pPr>
                  <w:r>
                    <w:rPr>
                      <w:color w:val="auto"/>
                      <w:u w:val="single"/>
                      <w14:ligatures w14:val="standardContextual"/>
                    </w:rPr>
                    <w:t>SS</w:t>
                  </w:r>
                </w:p>
              </w:tc>
              <w:tc>
                <w:tcPr>
                  <w:tcW w:w="968" w:type="dxa"/>
                  <w:noWrap/>
                  <w:vAlign w:val="center"/>
                </w:tcPr>
                <w:p w14:paraId="748F96BC">
                  <w:pPr>
                    <w:widowControl w:val="0"/>
                    <w:overflowPunct w:val="0"/>
                    <w:autoSpaceDE w:val="0"/>
                    <w:autoSpaceDN w:val="0"/>
                    <w:snapToGrid w:val="0"/>
                    <w:jc w:val="center"/>
                    <w:rPr>
                      <w:color w:val="auto"/>
                      <w:u w:val="single"/>
                      <w14:ligatures w14:val="standardContextual"/>
                    </w:rPr>
                  </w:pPr>
                  <w:r>
                    <w:rPr>
                      <w:color w:val="auto"/>
                      <w:u w:val="single"/>
                      <w14:ligatures w14:val="standardContextual"/>
                    </w:rPr>
                    <w:t>300</w:t>
                  </w:r>
                </w:p>
              </w:tc>
              <w:tc>
                <w:tcPr>
                  <w:tcW w:w="902" w:type="dxa"/>
                  <w:noWrap/>
                  <w:vAlign w:val="center"/>
                </w:tcPr>
                <w:p w14:paraId="43968D94">
                  <w:pPr>
                    <w:widowControl w:val="0"/>
                    <w:overflowPunct w:val="0"/>
                    <w:autoSpaceDE w:val="0"/>
                    <w:autoSpaceDN w:val="0"/>
                    <w:snapToGrid w:val="0"/>
                    <w:jc w:val="center"/>
                    <w:rPr>
                      <w:color w:val="auto"/>
                      <w:u w:val="single"/>
                      <w14:ligatures w14:val="standardContextual"/>
                    </w:rPr>
                  </w:pPr>
                  <w:r>
                    <w:rPr>
                      <w:color w:val="auto"/>
                      <w:u w:val="single"/>
                      <w14:ligatures w14:val="standardContextual"/>
                    </w:rPr>
                    <w:t>12.677</w:t>
                  </w:r>
                </w:p>
              </w:tc>
              <w:tc>
                <w:tcPr>
                  <w:tcW w:w="1271" w:type="dxa"/>
                  <w:noWrap/>
                  <w:vAlign w:val="center"/>
                </w:tcPr>
                <w:p w14:paraId="01C2342C">
                  <w:pPr>
                    <w:widowControl w:val="0"/>
                    <w:overflowPunct w:val="0"/>
                    <w:autoSpaceDE w:val="0"/>
                    <w:autoSpaceDN w:val="0"/>
                    <w:snapToGrid w:val="0"/>
                    <w:jc w:val="center"/>
                    <w:rPr>
                      <w:color w:val="auto"/>
                      <w:u w:val="single"/>
                      <w14:ligatures w14:val="standardContextual"/>
                    </w:rPr>
                  </w:pPr>
                  <w:r>
                    <w:rPr>
                      <w:rFonts w:hint="eastAsia"/>
                      <w:color w:val="auto"/>
                      <w:u w:val="single"/>
                      <w14:ligatures w14:val="standardContextual"/>
                    </w:rPr>
                    <w:t>/</w:t>
                  </w:r>
                </w:p>
              </w:tc>
              <w:tc>
                <w:tcPr>
                  <w:tcW w:w="1121" w:type="dxa"/>
                  <w:vAlign w:val="center"/>
                </w:tcPr>
                <w:p w14:paraId="5A080BB9">
                  <w:pPr>
                    <w:widowControl w:val="0"/>
                    <w:overflowPunct w:val="0"/>
                    <w:autoSpaceDE w:val="0"/>
                    <w:autoSpaceDN w:val="0"/>
                    <w:snapToGrid w:val="0"/>
                    <w:jc w:val="center"/>
                    <w:rPr>
                      <w:color w:val="auto"/>
                      <w:u w:val="single"/>
                      <w14:ligatures w14:val="standardContextual"/>
                    </w:rPr>
                  </w:pPr>
                  <w:r>
                    <w:rPr>
                      <w:color w:val="auto"/>
                      <w:u w:val="single"/>
                      <w14:ligatures w14:val="standardContextual"/>
                    </w:rPr>
                    <w:t>300.0</w:t>
                  </w:r>
                </w:p>
              </w:tc>
              <w:tc>
                <w:tcPr>
                  <w:tcW w:w="1033" w:type="dxa"/>
                  <w:vAlign w:val="center"/>
                </w:tcPr>
                <w:p w14:paraId="01B6ABFA">
                  <w:pPr>
                    <w:widowControl w:val="0"/>
                    <w:overflowPunct w:val="0"/>
                    <w:autoSpaceDE w:val="0"/>
                    <w:autoSpaceDN w:val="0"/>
                    <w:snapToGrid w:val="0"/>
                    <w:jc w:val="center"/>
                    <w:rPr>
                      <w:color w:val="auto"/>
                      <w:u w:val="single"/>
                      <w14:ligatures w14:val="standardContextual"/>
                    </w:rPr>
                  </w:pPr>
                  <w:r>
                    <w:rPr>
                      <w:color w:val="auto"/>
                      <w:u w:val="single"/>
                      <w14:ligatures w14:val="standardContextual"/>
                    </w:rPr>
                    <w:t>12.677</w:t>
                  </w:r>
                </w:p>
              </w:tc>
              <w:tc>
                <w:tcPr>
                  <w:tcW w:w="919" w:type="dxa"/>
                  <w:vAlign w:val="center"/>
                </w:tcPr>
                <w:p w14:paraId="57F03B49">
                  <w:pPr>
                    <w:widowControl w:val="0"/>
                    <w:overflowPunct w:val="0"/>
                    <w:autoSpaceDE w:val="0"/>
                    <w:autoSpaceDN w:val="0"/>
                    <w:snapToGrid w:val="0"/>
                    <w:jc w:val="center"/>
                    <w:rPr>
                      <w:color w:val="auto"/>
                      <w14:ligatures w14:val="standardContextual"/>
                    </w:rPr>
                  </w:pPr>
                  <w:r>
                    <w:rPr>
                      <w:rFonts w:hint="eastAsia"/>
                      <w:color w:val="auto"/>
                      <w14:ligatures w14:val="standardContextual"/>
                    </w:rPr>
                    <w:t>300</w:t>
                  </w:r>
                </w:p>
              </w:tc>
            </w:tr>
            <w:tr w14:paraId="4E4A1F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555" w:type="dxa"/>
                  <w:vMerge w:val="restart"/>
                  <w:vAlign w:val="center"/>
                </w:tcPr>
                <w:p w14:paraId="7AC4EE26">
                  <w:pPr>
                    <w:widowControl w:val="0"/>
                    <w:overflowPunct w:val="0"/>
                    <w:autoSpaceDE w:val="0"/>
                    <w:autoSpaceDN w:val="0"/>
                    <w:snapToGrid w:val="0"/>
                    <w:jc w:val="center"/>
                    <w:rPr>
                      <w:color w:val="auto"/>
                      <w14:ligatures w14:val="standardContextual"/>
                    </w:rPr>
                  </w:pPr>
                  <w:r>
                    <w:rPr>
                      <w:rFonts w:hint="eastAsia"/>
                      <w:color w:val="auto"/>
                      <w14:ligatures w14:val="standardContextual"/>
                    </w:rPr>
                    <w:t>生活污水</w:t>
                  </w:r>
                </w:p>
              </w:tc>
              <w:tc>
                <w:tcPr>
                  <w:tcW w:w="1169" w:type="dxa"/>
                  <w:noWrap/>
                  <w:vAlign w:val="center"/>
                </w:tcPr>
                <w:p w14:paraId="6FF113C6">
                  <w:pPr>
                    <w:widowControl w:val="0"/>
                    <w:overflowPunct w:val="0"/>
                    <w:autoSpaceDE w:val="0"/>
                    <w:autoSpaceDN w:val="0"/>
                    <w:snapToGrid w:val="0"/>
                    <w:jc w:val="center"/>
                    <w:rPr>
                      <w:color w:val="auto"/>
                      <w14:ligatures w14:val="standardContextual"/>
                    </w:rPr>
                  </w:pPr>
                  <w:r>
                    <w:rPr>
                      <w:rFonts w:hint="eastAsia"/>
                      <w:color w:val="auto"/>
                      <w14:ligatures w14:val="standardContextual"/>
                    </w:rPr>
                    <w:t>水量</w:t>
                  </w:r>
                </w:p>
              </w:tc>
              <w:tc>
                <w:tcPr>
                  <w:tcW w:w="968" w:type="dxa"/>
                  <w:noWrap/>
                  <w:vAlign w:val="center"/>
                </w:tcPr>
                <w:p w14:paraId="0E908965">
                  <w:pPr>
                    <w:widowControl w:val="0"/>
                    <w:overflowPunct w:val="0"/>
                    <w:autoSpaceDE w:val="0"/>
                    <w:autoSpaceDN w:val="0"/>
                    <w:snapToGrid w:val="0"/>
                    <w:jc w:val="center"/>
                    <w:rPr>
                      <w:color w:val="auto"/>
                      <w14:ligatures w14:val="standardContextual"/>
                    </w:rPr>
                  </w:pPr>
                </w:p>
              </w:tc>
              <w:tc>
                <w:tcPr>
                  <w:tcW w:w="902" w:type="dxa"/>
                  <w:noWrap/>
                  <w:vAlign w:val="center"/>
                </w:tcPr>
                <w:p w14:paraId="59F3A1E9">
                  <w:pPr>
                    <w:widowControl w:val="0"/>
                    <w:overflowPunct w:val="0"/>
                    <w:autoSpaceDE w:val="0"/>
                    <w:autoSpaceDN w:val="0"/>
                    <w:snapToGrid w:val="0"/>
                    <w:jc w:val="center"/>
                    <w:rPr>
                      <w:color w:val="auto"/>
                      <w14:ligatures w14:val="standardContextual"/>
                    </w:rPr>
                  </w:pPr>
                  <w:r>
                    <w:rPr>
                      <w:color w:val="auto"/>
                      <w14:ligatures w14:val="standardContextual"/>
                    </w:rPr>
                    <w:t xml:space="preserve">264 </w:t>
                  </w:r>
                </w:p>
              </w:tc>
              <w:tc>
                <w:tcPr>
                  <w:tcW w:w="1271" w:type="dxa"/>
                  <w:noWrap/>
                  <w:vAlign w:val="center"/>
                </w:tcPr>
                <w:p w14:paraId="729746A7">
                  <w:pPr>
                    <w:widowControl w:val="0"/>
                    <w:overflowPunct w:val="0"/>
                    <w:autoSpaceDE w:val="0"/>
                    <w:autoSpaceDN w:val="0"/>
                    <w:snapToGrid w:val="0"/>
                    <w:jc w:val="center"/>
                    <w:rPr>
                      <w:color w:val="auto"/>
                      <w14:ligatures w14:val="standardContextual"/>
                    </w:rPr>
                  </w:pPr>
                  <w:r>
                    <w:rPr>
                      <w:rFonts w:hint="eastAsia"/>
                      <w:color w:val="auto"/>
                      <w14:ligatures w14:val="standardContextual"/>
                    </w:rPr>
                    <w:t>化粪池（1m</w:t>
                  </w:r>
                  <w:r>
                    <w:rPr>
                      <w:rFonts w:hint="eastAsia"/>
                      <w:color w:val="auto"/>
                      <w:vertAlign w:val="superscript"/>
                      <w14:ligatures w14:val="standardContextual"/>
                    </w:rPr>
                    <w:t>3</w:t>
                  </w:r>
                  <w:r>
                    <w:rPr>
                      <w:color w:val="auto"/>
                      <w14:ligatures w14:val="standardContextual"/>
                    </w:rPr>
                    <w:t>/d</w:t>
                  </w:r>
                  <w:r>
                    <w:rPr>
                      <w:rFonts w:hint="eastAsia"/>
                      <w:color w:val="auto"/>
                      <w14:ligatures w14:val="standardContextual"/>
                    </w:rPr>
                    <w:t>）</w:t>
                  </w:r>
                </w:p>
              </w:tc>
              <w:tc>
                <w:tcPr>
                  <w:tcW w:w="1121" w:type="dxa"/>
                  <w:vAlign w:val="center"/>
                </w:tcPr>
                <w:p w14:paraId="307E5ACC">
                  <w:pPr>
                    <w:widowControl w:val="0"/>
                    <w:overflowPunct w:val="0"/>
                    <w:autoSpaceDE w:val="0"/>
                    <w:autoSpaceDN w:val="0"/>
                    <w:snapToGrid w:val="0"/>
                    <w:jc w:val="center"/>
                    <w:rPr>
                      <w:color w:val="auto"/>
                      <w14:ligatures w14:val="standardContextual"/>
                    </w:rPr>
                  </w:pPr>
                  <w:r>
                    <w:rPr>
                      <w:color w:val="auto"/>
                      <w14:ligatures w14:val="standardContextual"/>
                    </w:rPr>
                    <w:t>/</w:t>
                  </w:r>
                </w:p>
              </w:tc>
              <w:tc>
                <w:tcPr>
                  <w:tcW w:w="1033" w:type="dxa"/>
                  <w:vAlign w:val="center"/>
                </w:tcPr>
                <w:p w14:paraId="7A6E0DC3">
                  <w:pPr>
                    <w:widowControl w:val="0"/>
                    <w:overflowPunct w:val="0"/>
                    <w:autoSpaceDE w:val="0"/>
                    <w:autoSpaceDN w:val="0"/>
                    <w:snapToGrid w:val="0"/>
                    <w:jc w:val="center"/>
                    <w:rPr>
                      <w:color w:val="auto"/>
                      <w14:ligatures w14:val="standardContextual"/>
                    </w:rPr>
                  </w:pPr>
                  <w:r>
                    <w:rPr>
                      <w:color w:val="auto"/>
                      <w14:ligatures w14:val="standardContextual"/>
                    </w:rPr>
                    <w:t>264</w:t>
                  </w:r>
                </w:p>
              </w:tc>
              <w:tc>
                <w:tcPr>
                  <w:tcW w:w="919" w:type="dxa"/>
                  <w:vAlign w:val="center"/>
                </w:tcPr>
                <w:p w14:paraId="6B12E0E2">
                  <w:pPr>
                    <w:widowControl w:val="0"/>
                    <w:overflowPunct w:val="0"/>
                    <w:autoSpaceDE w:val="0"/>
                    <w:autoSpaceDN w:val="0"/>
                    <w:snapToGrid w:val="0"/>
                    <w:jc w:val="center"/>
                    <w:rPr>
                      <w:color w:val="auto"/>
                      <w14:ligatures w14:val="standardContextual"/>
                    </w:rPr>
                  </w:pPr>
                </w:p>
              </w:tc>
            </w:tr>
            <w:tr w14:paraId="3B0A5A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555" w:type="dxa"/>
                  <w:vMerge w:val="continue"/>
                  <w:vAlign w:val="center"/>
                </w:tcPr>
                <w:p w14:paraId="1EEA43AE">
                  <w:pPr>
                    <w:widowControl w:val="0"/>
                    <w:overflowPunct w:val="0"/>
                    <w:autoSpaceDE w:val="0"/>
                    <w:autoSpaceDN w:val="0"/>
                    <w:snapToGrid w:val="0"/>
                    <w:jc w:val="center"/>
                    <w:rPr>
                      <w:color w:val="auto"/>
                      <w14:ligatures w14:val="standardContextual"/>
                    </w:rPr>
                  </w:pPr>
                </w:p>
              </w:tc>
              <w:tc>
                <w:tcPr>
                  <w:tcW w:w="1169" w:type="dxa"/>
                  <w:noWrap/>
                  <w:vAlign w:val="center"/>
                </w:tcPr>
                <w:p w14:paraId="1C33294E">
                  <w:pPr>
                    <w:widowControl w:val="0"/>
                    <w:overflowPunct w:val="0"/>
                    <w:autoSpaceDE w:val="0"/>
                    <w:autoSpaceDN w:val="0"/>
                    <w:snapToGrid w:val="0"/>
                    <w:jc w:val="center"/>
                    <w:rPr>
                      <w:color w:val="auto"/>
                      <w14:ligatures w14:val="standardContextual"/>
                    </w:rPr>
                  </w:pPr>
                  <w:r>
                    <w:rPr>
                      <w:color w:val="auto"/>
                      <w14:ligatures w14:val="standardContextual"/>
                    </w:rPr>
                    <w:t>COD</w:t>
                  </w:r>
                </w:p>
              </w:tc>
              <w:tc>
                <w:tcPr>
                  <w:tcW w:w="968" w:type="dxa"/>
                  <w:noWrap/>
                  <w:vAlign w:val="center"/>
                </w:tcPr>
                <w:p w14:paraId="71C45210">
                  <w:pPr>
                    <w:widowControl w:val="0"/>
                    <w:overflowPunct w:val="0"/>
                    <w:autoSpaceDE w:val="0"/>
                    <w:autoSpaceDN w:val="0"/>
                    <w:snapToGrid w:val="0"/>
                    <w:jc w:val="center"/>
                    <w:rPr>
                      <w:color w:val="auto"/>
                      <w14:ligatures w14:val="standardContextual"/>
                    </w:rPr>
                  </w:pPr>
                  <w:r>
                    <w:rPr>
                      <w:color w:val="auto"/>
                      <w14:ligatures w14:val="standardContextual"/>
                    </w:rPr>
                    <w:t>250</w:t>
                  </w:r>
                </w:p>
              </w:tc>
              <w:tc>
                <w:tcPr>
                  <w:tcW w:w="902" w:type="dxa"/>
                  <w:noWrap/>
                  <w:vAlign w:val="center"/>
                </w:tcPr>
                <w:p w14:paraId="138D2544">
                  <w:pPr>
                    <w:widowControl w:val="0"/>
                    <w:overflowPunct w:val="0"/>
                    <w:autoSpaceDE w:val="0"/>
                    <w:autoSpaceDN w:val="0"/>
                    <w:snapToGrid w:val="0"/>
                    <w:jc w:val="center"/>
                    <w:rPr>
                      <w:color w:val="auto"/>
                      <w14:ligatures w14:val="standardContextual"/>
                    </w:rPr>
                  </w:pPr>
                  <w:r>
                    <w:rPr>
                      <w:color w:val="auto"/>
                      <w14:ligatures w14:val="standardContextual"/>
                    </w:rPr>
                    <w:t>0.066</w:t>
                  </w:r>
                </w:p>
              </w:tc>
              <w:tc>
                <w:tcPr>
                  <w:tcW w:w="1271" w:type="dxa"/>
                  <w:noWrap/>
                  <w:vAlign w:val="center"/>
                </w:tcPr>
                <w:p w14:paraId="28DB5DB9">
                  <w:pPr>
                    <w:widowControl w:val="0"/>
                    <w:overflowPunct w:val="0"/>
                    <w:autoSpaceDE w:val="0"/>
                    <w:autoSpaceDN w:val="0"/>
                    <w:snapToGrid w:val="0"/>
                    <w:jc w:val="center"/>
                    <w:rPr>
                      <w:color w:val="auto"/>
                      <w14:ligatures w14:val="standardContextual"/>
                    </w:rPr>
                  </w:pPr>
                  <w:r>
                    <w:rPr>
                      <w:color w:val="auto"/>
                      <w14:ligatures w14:val="standardContextual"/>
                    </w:rPr>
                    <w:t>43%</w:t>
                  </w:r>
                </w:p>
              </w:tc>
              <w:tc>
                <w:tcPr>
                  <w:tcW w:w="1121" w:type="dxa"/>
                  <w:vAlign w:val="center"/>
                </w:tcPr>
                <w:p w14:paraId="02A748A5">
                  <w:pPr>
                    <w:widowControl w:val="0"/>
                    <w:overflowPunct w:val="0"/>
                    <w:autoSpaceDE w:val="0"/>
                    <w:autoSpaceDN w:val="0"/>
                    <w:snapToGrid w:val="0"/>
                    <w:jc w:val="center"/>
                    <w:rPr>
                      <w:color w:val="auto"/>
                      <w14:ligatures w14:val="standardContextual"/>
                    </w:rPr>
                  </w:pPr>
                  <w:r>
                    <w:rPr>
                      <w:color w:val="auto"/>
                      <w14:ligatures w14:val="standardContextual"/>
                    </w:rPr>
                    <w:t>142.5</w:t>
                  </w:r>
                </w:p>
              </w:tc>
              <w:tc>
                <w:tcPr>
                  <w:tcW w:w="1033" w:type="dxa"/>
                  <w:vAlign w:val="center"/>
                </w:tcPr>
                <w:p w14:paraId="669A8B86">
                  <w:pPr>
                    <w:widowControl w:val="0"/>
                    <w:overflowPunct w:val="0"/>
                    <w:autoSpaceDE w:val="0"/>
                    <w:autoSpaceDN w:val="0"/>
                    <w:snapToGrid w:val="0"/>
                    <w:jc w:val="center"/>
                    <w:rPr>
                      <w:color w:val="auto"/>
                      <w14:ligatures w14:val="standardContextual"/>
                    </w:rPr>
                  </w:pPr>
                  <w:r>
                    <w:rPr>
                      <w:color w:val="auto"/>
                      <w14:ligatures w14:val="standardContextual"/>
                    </w:rPr>
                    <w:t>0.038</w:t>
                  </w:r>
                </w:p>
              </w:tc>
              <w:tc>
                <w:tcPr>
                  <w:tcW w:w="919" w:type="dxa"/>
                  <w:vAlign w:val="center"/>
                </w:tcPr>
                <w:p w14:paraId="51E78C9E">
                  <w:pPr>
                    <w:widowControl w:val="0"/>
                    <w:overflowPunct w:val="0"/>
                    <w:autoSpaceDE w:val="0"/>
                    <w:autoSpaceDN w:val="0"/>
                    <w:snapToGrid w:val="0"/>
                    <w:jc w:val="center"/>
                    <w:rPr>
                      <w:color w:val="auto"/>
                      <w14:ligatures w14:val="standardContextual"/>
                    </w:rPr>
                  </w:pPr>
                  <w:r>
                    <w:rPr>
                      <w:color w:val="auto"/>
                      <w14:ligatures w14:val="standardContextual"/>
                    </w:rPr>
                    <w:t>500</w:t>
                  </w:r>
                </w:p>
              </w:tc>
            </w:tr>
            <w:tr w14:paraId="371114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555" w:type="dxa"/>
                  <w:vMerge w:val="continue"/>
                  <w:vAlign w:val="center"/>
                </w:tcPr>
                <w:p w14:paraId="24DCC8AC">
                  <w:pPr>
                    <w:widowControl w:val="0"/>
                    <w:overflowPunct w:val="0"/>
                    <w:autoSpaceDE w:val="0"/>
                    <w:autoSpaceDN w:val="0"/>
                    <w:snapToGrid w:val="0"/>
                    <w:jc w:val="center"/>
                    <w:rPr>
                      <w:color w:val="auto"/>
                      <w14:ligatures w14:val="standardContextual"/>
                    </w:rPr>
                  </w:pPr>
                </w:p>
              </w:tc>
              <w:tc>
                <w:tcPr>
                  <w:tcW w:w="1169" w:type="dxa"/>
                  <w:noWrap/>
                  <w:vAlign w:val="center"/>
                </w:tcPr>
                <w:p w14:paraId="450B2688">
                  <w:pPr>
                    <w:widowControl w:val="0"/>
                    <w:overflowPunct w:val="0"/>
                    <w:autoSpaceDE w:val="0"/>
                    <w:autoSpaceDN w:val="0"/>
                    <w:snapToGrid w:val="0"/>
                    <w:jc w:val="center"/>
                    <w:rPr>
                      <w:color w:val="auto"/>
                      <w14:ligatures w14:val="standardContextual"/>
                    </w:rPr>
                  </w:pPr>
                  <w:r>
                    <w:rPr>
                      <w:color w:val="auto"/>
                      <w14:ligatures w14:val="standardContextual"/>
                    </w:rPr>
                    <w:t>BOD</w:t>
                  </w:r>
                  <w:r>
                    <w:rPr>
                      <w:color w:val="auto"/>
                      <w:vertAlign w:val="subscript"/>
                      <w14:ligatures w14:val="standardContextual"/>
                    </w:rPr>
                    <w:t>5</w:t>
                  </w:r>
                </w:p>
              </w:tc>
              <w:tc>
                <w:tcPr>
                  <w:tcW w:w="968" w:type="dxa"/>
                  <w:noWrap/>
                  <w:vAlign w:val="center"/>
                </w:tcPr>
                <w:p w14:paraId="57D20426">
                  <w:pPr>
                    <w:widowControl w:val="0"/>
                    <w:overflowPunct w:val="0"/>
                    <w:autoSpaceDE w:val="0"/>
                    <w:autoSpaceDN w:val="0"/>
                    <w:snapToGrid w:val="0"/>
                    <w:jc w:val="center"/>
                    <w:rPr>
                      <w:color w:val="auto"/>
                      <w14:ligatures w14:val="standardContextual"/>
                    </w:rPr>
                  </w:pPr>
                  <w:r>
                    <w:rPr>
                      <w:color w:val="auto"/>
                      <w14:ligatures w14:val="standardContextual"/>
                    </w:rPr>
                    <w:t>100</w:t>
                  </w:r>
                </w:p>
              </w:tc>
              <w:tc>
                <w:tcPr>
                  <w:tcW w:w="902" w:type="dxa"/>
                  <w:noWrap/>
                  <w:vAlign w:val="center"/>
                </w:tcPr>
                <w:p w14:paraId="2EF6105B">
                  <w:pPr>
                    <w:widowControl w:val="0"/>
                    <w:overflowPunct w:val="0"/>
                    <w:autoSpaceDE w:val="0"/>
                    <w:autoSpaceDN w:val="0"/>
                    <w:snapToGrid w:val="0"/>
                    <w:jc w:val="center"/>
                    <w:rPr>
                      <w:color w:val="auto"/>
                      <w14:ligatures w14:val="standardContextual"/>
                    </w:rPr>
                  </w:pPr>
                  <w:r>
                    <w:rPr>
                      <w:color w:val="auto"/>
                      <w14:ligatures w14:val="standardContextual"/>
                    </w:rPr>
                    <w:t>0.026</w:t>
                  </w:r>
                </w:p>
              </w:tc>
              <w:tc>
                <w:tcPr>
                  <w:tcW w:w="1271" w:type="dxa"/>
                  <w:noWrap/>
                  <w:vAlign w:val="center"/>
                </w:tcPr>
                <w:p w14:paraId="30DE31C6">
                  <w:pPr>
                    <w:widowControl w:val="0"/>
                    <w:overflowPunct w:val="0"/>
                    <w:autoSpaceDE w:val="0"/>
                    <w:autoSpaceDN w:val="0"/>
                    <w:snapToGrid w:val="0"/>
                    <w:jc w:val="center"/>
                    <w:rPr>
                      <w:color w:val="auto"/>
                      <w14:ligatures w14:val="standardContextual"/>
                    </w:rPr>
                  </w:pPr>
                  <w:r>
                    <w:rPr>
                      <w:color w:val="auto"/>
                      <w14:ligatures w14:val="standardContextual"/>
                    </w:rPr>
                    <w:t>50%</w:t>
                  </w:r>
                </w:p>
              </w:tc>
              <w:tc>
                <w:tcPr>
                  <w:tcW w:w="1121" w:type="dxa"/>
                  <w:vAlign w:val="center"/>
                </w:tcPr>
                <w:p w14:paraId="5728540B">
                  <w:pPr>
                    <w:widowControl w:val="0"/>
                    <w:overflowPunct w:val="0"/>
                    <w:autoSpaceDE w:val="0"/>
                    <w:autoSpaceDN w:val="0"/>
                    <w:snapToGrid w:val="0"/>
                    <w:jc w:val="center"/>
                    <w:rPr>
                      <w:color w:val="auto"/>
                      <w14:ligatures w14:val="standardContextual"/>
                    </w:rPr>
                  </w:pPr>
                  <w:r>
                    <w:rPr>
                      <w:color w:val="auto"/>
                      <w14:ligatures w14:val="standardContextual"/>
                    </w:rPr>
                    <w:t>50.0</w:t>
                  </w:r>
                </w:p>
              </w:tc>
              <w:tc>
                <w:tcPr>
                  <w:tcW w:w="1033" w:type="dxa"/>
                  <w:vAlign w:val="center"/>
                </w:tcPr>
                <w:p w14:paraId="412CFF0A">
                  <w:pPr>
                    <w:widowControl w:val="0"/>
                    <w:overflowPunct w:val="0"/>
                    <w:autoSpaceDE w:val="0"/>
                    <w:autoSpaceDN w:val="0"/>
                    <w:snapToGrid w:val="0"/>
                    <w:jc w:val="center"/>
                    <w:rPr>
                      <w:color w:val="auto"/>
                      <w14:ligatures w14:val="standardContextual"/>
                    </w:rPr>
                  </w:pPr>
                  <w:r>
                    <w:rPr>
                      <w:color w:val="auto"/>
                      <w14:ligatures w14:val="standardContextual"/>
                    </w:rPr>
                    <w:t>0.013</w:t>
                  </w:r>
                </w:p>
              </w:tc>
              <w:tc>
                <w:tcPr>
                  <w:tcW w:w="919" w:type="dxa"/>
                  <w:vAlign w:val="center"/>
                </w:tcPr>
                <w:p w14:paraId="764102B0">
                  <w:pPr>
                    <w:widowControl w:val="0"/>
                    <w:overflowPunct w:val="0"/>
                    <w:autoSpaceDE w:val="0"/>
                    <w:autoSpaceDN w:val="0"/>
                    <w:snapToGrid w:val="0"/>
                    <w:jc w:val="center"/>
                    <w:rPr>
                      <w:color w:val="auto"/>
                      <w14:ligatures w14:val="standardContextual"/>
                    </w:rPr>
                  </w:pPr>
                  <w:r>
                    <w:rPr>
                      <w:rFonts w:hint="eastAsia"/>
                      <w:color w:val="auto"/>
                      <w14:ligatures w14:val="standardContextual"/>
                    </w:rPr>
                    <w:t>200</w:t>
                  </w:r>
                </w:p>
              </w:tc>
            </w:tr>
            <w:tr w14:paraId="6B058A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555" w:type="dxa"/>
                  <w:vMerge w:val="continue"/>
                  <w:vAlign w:val="center"/>
                </w:tcPr>
                <w:p w14:paraId="41CC74EC">
                  <w:pPr>
                    <w:widowControl w:val="0"/>
                    <w:overflowPunct w:val="0"/>
                    <w:autoSpaceDE w:val="0"/>
                    <w:autoSpaceDN w:val="0"/>
                    <w:snapToGrid w:val="0"/>
                    <w:jc w:val="center"/>
                    <w:rPr>
                      <w:color w:val="auto"/>
                      <w14:ligatures w14:val="standardContextual"/>
                    </w:rPr>
                  </w:pPr>
                </w:p>
              </w:tc>
              <w:tc>
                <w:tcPr>
                  <w:tcW w:w="1169" w:type="dxa"/>
                  <w:noWrap/>
                  <w:vAlign w:val="center"/>
                </w:tcPr>
                <w:p w14:paraId="5BAE6563">
                  <w:pPr>
                    <w:widowControl w:val="0"/>
                    <w:overflowPunct w:val="0"/>
                    <w:autoSpaceDE w:val="0"/>
                    <w:autoSpaceDN w:val="0"/>
                    <w:snapToGrid w:val="0"/>
                    <w:jc w:val="center"/>
                    <w:rPr>
                      <w:color w:val="auto"/>
                      <w14:ligatures w14:val="standardContextual"/>
                    </w:rPr>
                  </w:pPr>
                  <w:r>
                    <w:rPr>
                      <w:color w:val="auto"/>
                      <w14:ligatures w14:val="standardContextual"/>
                    </w:rPr>
                    <w:t>SS</w:t>
                  </w:r>
                </w:p>
              </w:tc>
              <w:tc>
                <w:tcPr>
                  <w:tcW w:w="968" w:type="dxa"/>
                  <w:noWrap/>
                  <w:vAlign w:val="center"/>
                </w:tcPr>
                <w:p w14:paraId="4C747722">
                  <w:pPr>
                    <w:widowControl w:val="0"/>
                    <w:overflowPunct w:val="0"/>
                    <w:autoSpaceDE w:val="0"/>
                    <w:autoSpaceDN w:val="0"/>
                    <w:snapToGrid w:val="0"/>
                    <w:jc w:val="center"/>
                    <w:rPr>
                      <w:color w:val="auto"/>
                      <w14:ligatures w14:val="standardContextual"/>
                    </w:rPr>
                  </w:pPr>
                  <w:r>
                    <w:rPr>
                      <w:color w:val="auto"/>
                      <w14:ligatures w14:val="standardContextual"/>
                    </w:rPr>
                    <w:t>150</w:t>
                  </w:r>
                </w:p>
              </w:tc>
              <w:tc>
                <w:tcPr>
                  <w:tcW w:w="902" w:type="dxa"/>
                  <w:noWrap/>
                  <w:vAlign w:val="center"/>
                </w:tcPr>
                <w:p w14:paraId="2B0B29F8">
                  <w:pPr>
                    <w:widowControl w:val="0"/>
                    <w:overflowPunct w:val="0"/>
                    <w:autoSpaceDE w:val="0"/>
                    <w:autoSpaceDN w:val="0"/>
                    <w:snapToGrid w:val="0"/>
                    <w:jc w:val="center"/>
                    <w:rPr>
                      <w:color w:val="auto"/>
                      <w14:ligatures w14:val="standardContextual"/>
                    </w:rPr>
                  </w:pPr>
                  <w:r>
                    <w:rPr>
                      <w:color w:val="auto"/>
                      <w14:ligatures w14:val="standardContextual"/>
                    </w:rPr>
                    <w:t>0.04</w:t>
                  </w:r>
                </w:p>
              </w:tc>
              <w:tc>
                <w:tcPr>
                  <w:tcW w:w="1271" w:type="dxa"/>
                  <w:noWrap/>
                  <w:vAlign w:val="center"/>
                </w:tcPr>
                <w:p w14:paraId="6655E808">
                  <w:pPr>
                    <w:widowControl w:val="0"/>
                    <w:overflowPunct w:val="0"/>
                    <w:autoSpaceDE w:val="0"/>
                    <w:autoSpaceDN w:val="0"/>
                    <w:snapToGrid w:val="0"/>
                    <w:jc w:val="center"/>
                    <w:rPr>
                      <w:color w:val="auto"/>
                      <w14:ligatures w14:val="standardContextual"/>
                    </w:rPr>
                  </w:pPr>
                  <w:r>
                    <w:rPr>
                      <w:color w:val="auto"/>
                      <w14:ligatures w14:val="standardContextual"/>
                    </w:rPr>
                    <w:t>55%</w:t>
                  </w:r>
                </w:p>
              </w:tc>
              <w:tc>
                <w:tcPr>
                  <w:tcW w:w="1121" w:type="dxa"/>
                  <w:vAlign w:val="center"/>
                </w:tcPr>
                <w:p w14:paraId="08B36C0D">
                  <w:pPr>
                    <w:widowControl w:val="0"/>
                    <w:overflowPunct w:val="0"/>
                    <w:autoSpaceDE w:val="0"/>
                    <w:autoSpaceDN w:val="0"/>
                    <w:snapToGrid w:val="0"/>
                    <w:jc w:val="center"/>
                    <w:rPr>
                      <w:color w:val="auto"/>
                      <w14:ligatures w14:val="standardContextual"/>
                    </w:rPr>
                  </w:pPr>
                  <w:r>
                    <w:rPr>
                      <w:color w:val="auto"/>
                      <w14:ligatures w14:val="standardContextual"/>
                    </w:rPr>
                    <w:t>67.5</w:t>
                  </w:r>
                </w:p>
              </w:tc>
              <w:tc>
                <w:tcPr>
                  <w:tcW w:w="1033" w:type="dxa"/>
                  <w:vAlign w:val="center"/>
                </w:tcPr>
                <w:p w14:paraId="6644ECD6">
                  <w:pPr>
                    <w:widowControl w:val="0"/>
                    <w:overflowPunct w:val="0"/>
                    <w:autoSpaceDE w:val="0"/>
                    <w:autoSpaceDN w:val="0"/>
                    <w:snapToGrid w:val="0"/>
                    <w:jc w:val="center"/>
                    <w:rPr>
                      <w:color w:val="auto"/>
                      <w14:ligatures w14:val="standardContextual"/>
                    </w:rPr>
                  </w:pPr>
                  <w:r>
                    <w:rPr>
                      <w:color w:val="auto"/>
                      <w14:ligatures w14:val="standardContextual"/>
                    </w:rPr>
                    <w:t>0.018</w:t>
                  </w:r>
                </w:p>
              </w:tc>
              <w:tc>
                <w:tcPr>
                  <w:tcW w:w="919" w:type="dxa"/>
                  <w:vAlign w:val="center"/>
                </w:tcPr>
                <w:p w14:paraId="7D3EBDD5">
                  <w:pPr>
                    <w:widowControl w:val="0"/>
                    <w:overflowPunct w:val="0"/>
                    <w:autoSpaceDE w:val="0"/>
                    <w:autoSpaceDN w:val="0"/>
                    <w:snapToGrid w:val="0"/>
                    <w:jc w:val="center"/>
                    <w:rPr>
                      <w:color w:val="auto"/>
                      <w14:ligatures w14:val="standardContextual"/>
                    </w:rPr>
                  </w:pPr>
                  <w:r>
                    <w:rPr>
                      <w:rFonts w:hint="eastAsia"/>
                      <w:color w:val="auto"/>
                      <w14:ligatures w14:val="standardContextual"/>
                    </w:rPr>
                    <w:t>300</w:t>
                  </w:r>
                </w:p>
              </w:tc>
            </w:tr>
            <w:tr w14:paraId="12CB00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555" w:type="dxa"/>
                  <w:vMerge w:val="continue"/>
                  <w:vAlign w:val="center"/>
                </w:tcPr>
                <w:p w14:paraId="566657D6">
                  <w:pPr>
                    <w:widowControl w:val="0"/>
                    <w:overflowPunct w:val="0"/>
                    <w:autoSpaceDE w:val="0"/>
                    <w:autoSpaceDN w:val="0"/>
                    <w:snapToGrid w:val="0"/>
                    <w:jc w:val="center"/>
                    <w:rPr>
                      <w:color w:val="auto"/>
                      <w14:ligatures w14:val="standardContextual"/>
                    </w:rPr>
                  </w:pPr>
                </w:p>
              </w:tc>
              <w:tc>
                <w:tcPr>
                  <w:tcW w:w="1169" w:type="dxa"/>
                  <w:noWrap/>
                  <w:vAlign w:val="center"/>
                </w:tcPr>
                <w:p w14:paraId="2F449FC2">
                  <w:pPr>
                    <w:widowControl w:val="0"/>
                    <w:overflowPunct w:val="0"/>
                    <w:autoSpaceDE w:val="0"/>
                    <w:autoSpaceDN w:val="0"/>
                    <w:snapToGrid w:val="0"/>
                    <w:jc w:val="center"/>
                    <w:rPr>
                      <w:color w:val="auto"/>
                      <w14:ligatures w14:val="standardContextual"/>
                    </w:rPr>
                  </w:pPr>
                  <w:r>
                    <w:rPr>
                      <w:rFonts w:hint="eastAsia"/>
                      <w:color w:val="auto"/>
                      <w14:ligatures w14:val="standardContextual"/>
                    </w:rPr>
                    <w:t>氨氮</w:t>
                  </w:r>
                </w:p>
              </w:tc>
              <w:tc>
                <w:tcPr>
                  <w:tcW w:w="968" w:type="dxa"/>
                  <w:noWrap/>
                  <w:vAlign w:val="center"/>
                </w:tcPr>
                <w:p w14:paraId="76B1A858">
                  <w:pPr>
                    <w:widowControl w:val="0"/>
                    <w:overflowPunct w:val="0"/>
                    <w:autoSpaceDE w:val="0"/>
                    <w:autoSpaceDN w:val="0"/>
                    <w:snapToGrid w:val="0"/>
                    <w:jc w:val="center"/>
                    <w:rPr>
                      <w:color w:val="auto"/>
                      <w14:ligatures w14:val="standardContextual"/>
                    </w:rPr>
                  </w:pPr>
                  <w:r>
                    <w:rPr>
                      <w:color w:val="auto"/>
                      <w14:ligatures w14:val="standardContextual"/>
                    </w:rPr>
                    <w:t>12</w:t>
                  </w:r>
                </w:p>
              </w:tc>
              <w:tc>
                <w:tcPr>
                  <w:tcW w:w="902" w:type="dxa"/>
                  <w:noWrap/>
                  <w:vAlign w:val="center"/>
                </w:tcPr>
                <w:p w14:paraId="18943421">
                  <w:pPr>
                    <w:widowControl w:val="0"/>
                    <w:overflowPunct w:val="0"/>
                    <w:autoSpaceDE w:val="0"/>
                    <w:autoSpaceDN w:val="0"/>
                    <w:snapToGrid w:val="0"/>
                    <w:jc w:val="center"/>
                    <w:rPr>
                      <w:color w:val="auto"/>
                      <w14:ligatures w14:val="standardContextual"/>
                    </w:rPr>
                  </w:pPr>
                  <w:r>
                    <w:rPr>
                      <w:color w:val="auto"/>
                      <w14:ligatures w14:val="standardContextual"/>
                    </w:rPr>
                    <w:t>0.003</w:t>
                  </w:r>
                </w:p>
              </w:tc>
              <w:tc>
                <w:tcPr>
                  <w:tcW w:w="1271" w:type="dxa"/>
                  <w:noWrap/>
                  <w:vAlign w:val="center"/>
                </w:tcPr>
                <w:p w14:paraId="08A088B8">
                  <w:pPr>
                    <w:widowControl w:val="0"/>
                    <w:overflowPunct w:val="0"/>
                    <w:autoSpaceDE w:val="0"/>
                    <w:autoSpaceDN w:val="0"/>
                    <w:snapToGrid w:val="0"/>
                    <w:jc w:val="center"/>
                    <w:rPr>
                      <w:color w:val="auto"/>
                      <w14:ligatures w14:val="standardContextual"/>
                    </w:rPr>
                  </w:pPr>
                  <w:r>
                    <w:rPr>
                      <w:color w:val="auto"/>
                      <w14:ligatures w14:val="standardContextual"/>
                    </w:rPr>
                    <w:t>27.50%</w:t>
                  </w:r>
                </w:p>
              </w:tc>
              <w:tc>
                <w:tcPr>
                  <w:tcW w:w="1121" w:type="dxa"/>
                  <w:vAlign w:val="center"/>
                </w:tcPr>
                <w:p w14:paraId="11A9AD33">
                  <w:pPr>
                    <w:widowControl w:val="0"/>
                    <w:overflowPunct w:val="0"/>
                    <w:autoSpaceDE w:val="0"/>
                    <w:autoSpaceDN w:val="0"/>
                    <w:snapToGrid w:val="0"/>
                    <w:jc w:val="center"/>
                    <w:rPr>
                      <w:color w:val="auto"/>
                      <w14:ligatures w14:val="standardContextual"/>
                    </w:rPr>
                  </w:pPr>
                  <w:r>
                    <w:rPr>
                      <w:color w:val="auto"/>
                      <w14:ligatures w14:val="standardContextual"/>
                    </w:rPr>
                    <w:t>8.7</w:t>
                  </w:r>
                </w:p>
              </w:tc>
              <w:tc>
                <w:tcPr>
                  <w:tcW w:w="1033" w:type="dxa"/>
                  <w:vAlign w:val="center"/>
                </w:tcPr>
                <w:p w14:paraId="35663367">
                  <w:pPr>
                    <w:widowControl w:val="0"/>
                    <w:overflowPunct w:val="0"/>
                    <w:autoSpaceDE w:val="0"/>
                    <w:autoSpaceDN w:val="0"/>
                    <w:snapToGrid w:val="0"/>
                    <w:jc w:val="center"/>
                    <w:rPr>
                      <w:color w:val="auto"/>
                      <w14:ligatures w14:val="standardContextual"/>
                    </w:rPr>
                  </w:pPr>
                  <w:r>
                    <w:rPr>
                      <w:color w:val="auto"/>
                      <w14:ligatures w14:val="standardContextual"/>
                    </w:rPr>
                    <w:t>0.002</w:t>
                  </w:r>
                </w:p>
              </w:tc>
              <w:tc>
                <w:tcPr>
                  <w:tcW w:w="919" w:type="dxa"/>
                  <w:vAlign w:val="center"/>
                </w:tcPr>
                <w:p w14:paraId="2CCEC0E6">
                  <w:pPr>
                    <w:widowControl w:val="0"/>
                    <w:overflowPunct w:val="0"/>
                    <w:autoSpaceDE w:val="0"/>
                    <w:autoSpaceDN w:val="0"/>
                    <w:snapToGrid w:val="0"/>
                    <w:jc w:val="center"/>
                    <w:rPr>
                      <w:color w:val="auto"/>
                      <w14:ligatures w14:val="standardContextual"/>
                    </w:rPr>
                  </w:pPr>
                  <w:r>
                    <w:rPr>
                      <w:rFonts w:hint="eastAsia"/>
                      <w:color w:val="auto"/>
                      <w14:ligatures w14:val="standardContextual"/>
                    </w:rPr>
                    <w:t>35</w:t>
                  </w:r>
                </w:p>
              </w:tc>
            </w:tr>
            <w:tr w14:paraId="04DACC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555" w:type="dxa"/>
                  <w:vMerge w:val="continue"/>
                  <w:vAlign w:val="center"/>
                </w:tcPr>
                <w:p w14:paraId="10D1FF1D">
                  <w:pPr>
                    <w:widowControl w:val="0"/>
                    <w:overflowPunct w:val="0"/>
                    <w:autoSpaceDE w:val="0"/>
                    <w:autoSpaceDN w:val="0"/>
                    <w:snapToGrid w:val="0"/>
                    <w:jc w:val="center"/>
                    <w:rPr>
                      <w:color w:val="auto"/>
                      <w14:ligatures w14:val="standardContextual"/>
                    </w:rPr>
                  </w:pPr>
                </w:p>
              </w:tc>
              <w:tc>
                <w:tcPr>
                  <w:tcW w:w="1169" w:type="dxa"/>
                  <w:noWrap/>
                  <w:vAlign w:val="center"/>
                </w:tcPr>
                <w:p w14:paraId="6334A352">
                  <w:pPr>
                    <w:widowControl w:val="0"/>
                    <w:overflowPunct w:val="0"/>
                    <w:autoSpaceDE w:val="0"/>
                    <w:autoSpaceDN w:val="0"/>
                    <w:snapToGrid w:val="0"/>
                    <w:jc w:val="center"/>
                    <w:rPr>
                      <w:color w:val="auto"/>
                      <w14:ligatures w14:val="standardContextual"/>
                    </w:rPr>
                  </w:pPr>
                  <w:r>
                    <w:rPr>
                      <w:rFonts w:hint="eastAsia"/>
                      <w:color w:val="auto"/>
                      <w14:ligatures w14:val="standardContextual"/>
                    </w:rPr>
                    <w:t>总磷</w:t>
                  </w:r>
                </w:p>
              </w:tc>
              <w:tc>
                <w:tcPr>
                  <w:tcW w:w="968" w:type="dxa"/>
                  <w:noWrap/>
                  <w:vAlign w:val="center"/>
                </w:tcPr>
                <w:p w14:paraId="756A6BEF">
                  <w:pPr>
                    <w:widowControl w:val="0"/>
                    <w:overflowPunct w:val="0"/>
                    <w:autoSpaceDE w:val="0"/>
                    <w:autoSpaceDN w:val="0"/>
                    <w:snapToGrid w:val="0"/>
                    <w:jc w:val="center"/>
                    <w:rPr>
                      <w:color w:val="auto"/>
                      <w14:ligatures w14:val="standardContextual"/>
                    </w:rPr>
                  </w:pPr>
                  <w:r>
                    <w:rPr>
                      <w:color w:val="auto"/>
                      <w14:ligatures w14:val="standardContextual"/>
                    </w:rPr>
                    <w:t>1</w:t>
                  </w:r>
                </w:p>
              </w:tc>
              <w:tc>
                <w:tcPr>
                  <w:tcW w:w="902" w:type="dxa"/>
                  <w:noWrap/>
                  <w:vAlign w:val="center"/>
                </w:tcPr>
                <w:p w14:paraId="0EBBA64A">
                  <w:pPr>
                    <w:widowControl w:val="0"/>
                    <w:overflowPunct w:val="0"/>
                    <w:autoSpaceDE w:val="0"/>
                    <w:autoSpaceDN w:val="0"/>
                    <w:snapToGrid w:val="0"/>
                    <w:jc w:val="center"/>
                    <w:rPr>
                      <w:color w:val="auto"/>
                      <w14:ligatures w14:val="standardContextual"/>
                    </w:rPr>
                  </w:pPr>
                  <w:r>
                    <w:rPr>
                      <w:color w:val="auto"/>
                      <w14:ligatures w14:val="standardContextual"/>
                    </w:rPr>
                    <w:t>0.0003</w:t>
                  </w:r>
                </w:p>
              </w:tc>
              <w:tc>
                <w:tcPr>
                  <w:tcW w:w="1271" w:type="dxa"/>
                  <w:noWrap/>
                  <w:vAlign w:val="center"/>
                </w:tcPr>
                <w:p w14:paraId="4FE71F1A">
                  <w:pPr>
                    <w:widowControl w:val="0"/>
                    <w:overflowPunct w:val="0"/>
                    <w:autoSpaceDE w:val="0"/>
                    <w:autoSpaceDN w:val="0"/>
                    <w:snapToGrid w:val="0"/>
                    <w:jc w:val="center"/>
                    <w:rPr>
                      <w:color w:val="auto"/>
                      <w14:ligatures w14:val="standardContextual"/>
                    </w:rPr>
                  </w:pPr>
                  <w:r>
                    <w:rPr>
                      <w:color w:val="auto"/>
                      <w14:ligatures w14:val="standardContextual"/>
                    </w:rPr>
                    <w:t>15%</w:t>
                  </w:r>
                </w:p>
              </w:tc>
              <w:tc>
                <w:tcPr>
                  <w:tcW w:w="1121" w:type="dxa"/>
                  <w:vAlign w:val="center"/>
                </w:tcPr>
                <w:p w14:paraId="70A10774">
                  <w:pPr>
                    <w:widowControl w:val="0"/>
                    <w:overflowPunct w:val="0"/>
                    <w:autoSpaceDE w:val="0"/>
                    <w:autoSpaceDN w:val="0"/>
                    <w:snapToGrid w:val="0"/>
                    <w:jc w:val="center"/>
                    <w:rPr>
                      <w:color w:val="auto"/>
                      <w14:ligatures w14:val="standardContextual"/>
                    </w:rPr>
                  </w:pPr>
                  <w:r>
                    <w:rPr>
                      <w:color w:val="auto"/>
                      <w14:ligatures w14:val="standardContextual"/>
                    </w:rPr>
                    <w:t>0.9</w:t>
                  </w:r>
                </w:p>
              </w:tc>
              <w:tc>
                <w:tcPr>
                  <w:tcW w:w="1033" w:type="dxa"/>
                  <w:vAlign w:val="center"/>
                </w:tcPr>
                <w:p w14:paraId="6CA7D344">
                  <w:pPr>
                    <w:widowControl w:val="0"/>
                    <w:overflowPunct w:val="0"/>
                    <w:autoSpaceDE w:val="0"/>
                    <w:autoSpaceDN w:val="0"/>
                    <w:snapToGrid w:val="0"/>
                    <w:jc w:val="center"/>
                    <w:rPr>
                      <w:color w:val="auto"/>
                      <w14:ligatures w14:val="standardContextual"/>
                    </w:rPr>
                  </w:pPr>
                  <w:r>
                    <w:rPr>
                      <w:color w:val="auto"/>
                      <w14:ligatures w14:val="standardContextual"/>
                    </w:rPr>
                    <w:t>0.0002</w:t>
                  </w:r>
                </w:p>
              </w:tc>
              <w:tc>
                <w:tcPr>
                  <w:tcW w:w="919" w:type="dxa"/>
                  <w:vAlign w:val="center"/>
                </w:tcPr>
                <w:p w14:paraId="7D60C7B8">
                  <w:pPr>
                    <w:widowControl w:val="0"/>
                    <w:overflowPunct w:val="0"/>
                    <w:autoSpaceDE w:val="0"/>
                    <w:autoSpaceDN w:val="0"/>
                    <w:snapToGrid w:val="0"/>
                    <w:jc w:val="center"/>
                    <w:rPr>
                      <w:color w:val="auto"/>
                      <w14:ligatures w14:val="standardContextual"/>
                    </w:rPr>
                  </w:pPr>
                  <w:r>
                    <w:rPr>
                      <w:rFonts w:hint="eastAsia"/>
                      <w:color w:val="auto"/>
                      <w14:ligatures w14:val="standardContextual"/>
                    </w:rPr>
                    <w:t>4.5</w:t>
                  </w:r>
                </w:p>
              </w:tc>
            </w:tr>
            <w:tr w14:paraId="378E96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555" w:type="dxa"/>
                  <w:vMerge w:val="continue"/>
                  <w:vAlign w:val="center"/>
                </w:tcPr>
                <w:p w14:paraId="0425C0DA">
                  <w:pPr>
                    <w:widowControl w:val="0"/>
                    <w:overflowPunct w:val="0"/>
                    <w:autoSpaceDE w:val="0"/>
                    <w:autoSpaceDN w:val="0"/>
                    <w:snapToGrid w:val="0"/>
                    <w:jc w:val="center"/>
                    <w:rPr>
                      <w:color w:val="auto"/>
                      <w14:ligatures w14:val="standardContextual"/>
                    </w:rPr>
                  </w:pPr>
                </w:p>
              </w:tc>
              <w:tc>
                <w:tcPr>
                  <w:tcW w:w="1169" w:type="dxa"/>
                  <w:noWrap/>
                  <w:vAlign w:val="center"/>
                </w:tcPr>
                <w:p w14:paraId="376430F4">
                  <w:pPr>
                    <w:widowControl w:val="0"/>
                    <w:overflowPunct w:val="0"/>
                    <w:autoSpaceDE w:val="0"/>
                    <w:autoSpaceDN w:val="0"/>
                    <w:snapToGrid w:val="0"/>
                    <w:jc w:val="center"/>
                    <w:rPr>
                      <w:color w:val="auto"/>
                      <w14:ligatures w14:val="standardContextual"/>
                    </w:rPr>
                  </w:pPr>
                  <w:r>
                    <w:rPr>
                      <w:rFonts w:hint="eastAsia"/>
                      <w:color w:val="auto"/>
                      <w14:ligatures w14:val="standardContextual"/>
                    </w:rPr>
                    <w:t>总氮</w:t>
                  </w:r>
                </w:p>
              </w:tc>
              <w:tc>
                <w:tcPr>
                  <w:tcW w:w="968" w:type="dxa"/>
                  <w:noWrap/>
                  <w:vAlign w:val="center"/>
                </w:tcPr>
                <w:p w14:paraId="19B6DE9A">
                  <w:pPr>
                    <w:widowControl w:val="0"/>
                    <w:overflowPunct w:val="0"/>
                    <w:autoSpaceDE w:val="0"/>
                    <w:autoSpaceDN w:val="0"/>
                    <w:snapToGrid w:val="0"/>
                    <w:jc w:val="center"/>
                    <w:rPr>
                      <w:color w:val="auto"/>
                      <w14:ligatures w14:val="standardContextual"/>
                    </w:rPr>
                  </w:pPr>
                  <w:r>
                    <w:rPr>
                      <w:color w:val="auto"/>
                      <w14:ligatures w14:val="standardContextual"/>
                    </w:rPr>
                    <w:t>20</w:t>
                  </w:r>
                </w:p>
              </w:tc>
              <w:tc>
                <w:tcPr>
                  <w:tcW w:w="902" w:type="dxa"/>
                  <w:noWrap/>
                  <w:vAlign w:val="center"/>
                </w:tcPr>
                <w:p w14:paraId="17868B3F">
                  <w:pPr>
                    <w:widowControl w:val="0"/>
                    <w:overflowPunct w:val="0"/>
                    <w:autoSpaceDE w:val="0"/>
                    <w:autoSpaceDN w:val="0"/>
                    <w:snapToGrid w:val="0"/>
                    <w:jc w:val="center"/>
                    <w:rPr>
                      <w:color w:val="auto"/>
                      <w14:ligatures w14:val="standardContextual"/>
                    </w:rPr>
                  </w:pPr>
                  <w:r>
                    <w:rPr>
                      <w:color w:val="auto"/>
                      <w14:ligatures w14:val="standardContextual"/>
                    </w:rPr>
                    <w:t>0.005</w:t>
                  </w:r>
                </w:p>
              </w:tc>
              <w:tc>
                <w:tcPr>
                  <w:tcW w:w="1271" w:type="dxa"/>
                  <w:noWrap/>
                  <w:vAlign w:val="center"/>
                </w:tcPr>
                <w:p w14:paraId="1F98A670">
                  <w:pPr>
                    <w:widowControl w:val="0"/>
                    <w:overflowPunct w:val="0"/>
                    <w:autoSpaceDE w:val="0"/>
                    <w:autoSpaceDN w:val="0"/>
                    <w:snapToGrid w:val="0"/>
                    <w:jc w:val="center"/>
                    <w:rPr>
                      <w:color w:val="auto"/>
                      <w14:ligatures w14:val="standardContextual"/>
                    </w:rPr>
                  </w:pPr>
                  <w:r>
                    <w:rPr>
                      <w:color w:val="auto"/>
                      <w14:ligatures w14:val="standardContextual"/>
                    </w:rPr>
                    <w:t>27.50%</w:t>
                  </w:r>
                </w:p>
              </w:tc>
              <w:tc>
                <w:tcPr>
                  <w:tcW w:w="1121" w:type="dxa"/>
                  <w:vAlign w:val="center"/>
                </w:tcPr>
                <w:p w14:paraId="3E35D328">
                  <w:pPr>
                    <w:widowControl w:val="0"/>
                    <w:overflowPunct w:val="0"/>
                    <w:autoSpaceDE w:val="0"/>
                    <w:autoSpaceDN w:val="0"/>
                    <w:snapToGrid w:val="0"/>
                    <w:jc w:val="center"/>
                    <w:rPr>
                      <w:color w:val="auto"/>
                      <w14:ligatures w14:val="standardContextual"/>
                    </w:rPr>
                  </w:pPr>
                  <w:r>
                    <w:rPr>
                      <w:color w:val="auto"/>
                      <w14:ligatures w14:val="standardContextual"/>
                    </w:rPr>
                    <w:t>14.5</w:t>
                  </w:r>
                </w:p>
              </w:tc>
              <w:tc>
                <w:tcPr>
                  <w:tcW w:w="1033" w:type="dxa"/>
                  <w:vAlign w:val="center"/>
                </w:tcPr>
                <w:p w14:paraId="31F26F69">
                  <w:pPr>
                    <w:widowControl w:val="0"/>
                    <w:overflowPunct w:val="0"/>
                    <w:autoSpaceDE w:val="0"/>
                    <w:autoSpaceDN w:val="0"/>
                    <w:snapToGrid w:val="0"/>
                    <w:jc w:val="center"/>
                    <w:rPr>
                      <w:color w:val="auto"/>
                      <w14:ligatures w14:val="standardContextual"/>
                    </w:rPr>
                  </w:pPr>
                  <w:r>
                    <w:rPr>
                      <w:color w:val="auto"/>
                      <w14:ligatures w14:val="standardContextual"/>
                    </w:rPr>
                    <w:t>0.004</w:t>
                  </w:r>
                </w:p>
              </w:tc>
              <w:tc>
                <w:tcPr>
                  <w:tcW w:w="919" w:type="dxa"/>
                  <w:vAlign w:val="center"/>
                </w:tcPr>
                <w:p w14:paraId="3CA8ECBB">
                  <w:pPr>
                    <w:widowControl w:val="0"/>
                    <w:overflowPunct w:val="0"/>
                    <w:autoSpaceDE w:val="0"/>
                    <w:autoSpaceDN w:val="0"/>
                    <w:snapToGrid w:val="0"/>
                    <w:jc w:val="center"/>
                    <w:rPr>
                      <w:color w:val="auto"/>
                      <w14:ligatures w14:val="standardContextual"/>
                    </w:rPr>
                  </w:pPr>
                  <w:r>
                    <w:rPr>
                      <w:rFonts w:hint="eastAsia"/>
                      <w:color w:val="auto"/>
                      <w14:ligatures w14:val="standardContextual"/>
                    </w:rPr>
                    <w:t>45</w:t>
                  </w:r>
                </w:p>
              </w:tc>
            </w:tr>
            <w:tr w14:paraId="6A7F90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555" w:type="dxa"/>
                  <w:vMerge w:val="restart"/>
                  <w:vAlign w:val="center"/>
                </w:tcPr>
                <w:p w14:paraId="4A09CA9F">
                  <w:pPr>
                    <w:widowControl w:val="0"/>
                    <w:overflowPunct w:val="0"/>
                    <w:autoSpaceDE w:val="0"/>
                    <w:autoSpaceDN w:val="0"/>
                    <w:snapToGrid w:val="0"/>
                    <w:jc w:val="center"/>
                    <w:rPr>
                      <w:color w:val="auto"/>
                      <w14:ligatures w14:val="standardContextual"/>
                    </w:rPr>
                  </w:pPr>
                  <w:r>
                    <w:rPr>
                      <w:rFonts w:hint="eastAsia"/>
                      <w:color w:val="auto"/>
                      <w14:ligatures w14:val="standardContextual"/>
                    </w:rPr>
                    <w:t>合计</w:t>
                  </w:r>
                </w:p>
              </w:tc>
              <w:tc>
                <w:tcPr>
                  <w:tcW w:w="1169" w:type="dxa"/>
                  <w:noWrap/>
                  <w:vAlign w:val="center"/>
                </w:tcPr>
                <w:p w14:paraId="74AF034F">
                  <w:pPr>
                    <w:widowControl w:val="0"/>
                    <w:overflowPunct w:val="0"/>
                    <w:autoSpaceDE w:val="0"/>
                    <w:autoSpaceDN w:val="0"/>
                    <w:snapToGrid w:val="0"/>
                    <w:jc w:val="center"/>
                    <w:rPr>
                      <w:color w:val="auto"/>
                      <w14:ligatures w14:val="standardContextual"/>
                    </w:rPr>
                  </w:pPr>
                  <w:r>
                    <w:rPr>
                      <w:rFonts w:hint="eastAsia"/>
                      <w:color w:val="auto"/>
                      <w14:ligatures w14:val="standardContextual"/>
                    </w:rPr>
                    <w:t>水量</w:t>
                  </w:r>
                </w:p>
              </w:tc>
              <w:tc>
                <w:tcPr>
                  <w:tcW w:w="968" w:type="dxa"/>
                  <w:noWrap/>
                  <w:vAlign w:val="center"/>
                </w:tcPr>
                <w:p w14:paraId="791EEDD3">
                  <w:pPr>
                    <w:widowControl w:val="0"/>
                    <w:overflowPunct w:val="0"/>
                    <w:autoSpaceDE w:val="0"/>
                    <w:autoSpaceDN w:val="0"/>
                    <w:snapToGrid w:val="0"/>
                    <w:jc w:val="center"/>
                    <w:rPr>
                      <w:color w:val="auto"/>
                      <w14:ligatures w14:val="standardContextual"/>
                    </w:rPr>
                  </w:pPr>
                  <w:r>
                    <w:rPr>
                      <w:color w:val="auto"/>
                      <w14:ligatures w14:val="standardContextual"/>
                    </w:rPr>
                    <w:t>/</w:t>
                  </w:r>
                </w:p>
              </w:tc>
              <w:tc>
                <w:tcPr>
                  <w:tcW w:w="902" w:type="dxa"/>
                  <w:noWrap/>
                  <w:vAlign w:val="center"/>
                </w:tcPr>
                <w:p w14:paraId="3296A8DF">
                  <w:pPr>
                    <w:widowControl w:val="0"/>
                    <w:overflowPunct w:val="0"/>
                    <w:autoSpaceDE w:val="0"/>
                    <w:autoSpaceDN w:val="0"/>
                    <w:snapToGrid w:val="0"/>
                    <w:jc w:val="center"/>
                    <w:rPr>
                      <w:color w:val="auto"/>
                      <w14:ligatures w14:val="standardContextual"/>
                    </w:rPr>
                  </w:pPr>
                  <w:r>
                    <w:rPr>
                      <w:color w:val="auto"/>
                      <w14:ligatures w14:val="standardContextual"/>
                    </w:rPr>
                    <w:t>/</w:t>
                  </w:r>
                </w:p>
              </w:tc>
              <w:tc>
                <w:tcPr>
                  <w:tcW w:w="1271" w:type="dxa"/>
                  <w:noWrap/>
                  <w:vAlign w:val="center"/>
                </w:tcPr>
                <w:p w14:paraId="58D9382B">
                  <w:pPr>
                    <w:widowControl w:val="0"/>
                    <w:overflowPunct w:val="0"/>
                    <w:autoSpaceDE w:val="0"/>
                    <w:autoSpaceDN w:val="0"/>
                    <w:snapToGrid w:val="0"/>
                    <w:jc w:val="center"/>
                    <w:rPr>
                      <w:color w:val="auto"/>
                      <w14:ligatures w14:val="standardContextual"/>
                    </w:rPr>
                  </w:pPr>
                  <w:bookmarkStart w:id="212" w:name="OLE_LINK5"/>
                  <w:r>
                    <w:rPr>
                      <w:color w:val="auto"/>
                      <w14:ligatures w14:val="standardContextual"/>
                    </w:rPr>
                    <w:t>/</w:t>
                  </w:r>
                  <w:bookmarkEnd w:id="212"/>
                </w:p>
              </w:tc>
              <w:tc>
                <w:tcPr>
                  <w:tcW w:w="1121" w:type="dxa"/>
                  <w:vAlign w:val="center"/>
                </w:tcPr>
                <w:p w14:paraId="204CBC90">
                  <w:pPr>
                    <w:widowControl w:val="0"/>
                    <w:overflowPunct w:val="0"/>
                    <w:autoSpaceDE w:val="0"/>
                    <w:autoSpaceDN w:val="0"/>
                    <w:snapToGrid w:val="0"/>
                    <w:jc w:val="center"/>
                    <w:rPr>
                      <w:color w:val="auto"/>
                      <w:u w:val="single"/>
                      <w14:ligatures w14:val="standardContextual"/>
                    </w:rPr>
                  </w:pPr>
                  <w:r>
                    <w:rPr>
                      <w:rFonts w:hint="eastAsia"/>
                      <w:color w:val="auto"/>
                      <w:u w:val="single"/>
                      <w14:ligatures w14:val="standardContextual"/>
                    </w:rPr>
                    <w:t>/</w:t>
                  </w:r>
                </w:p>
              </w:tc>
              <w:tc>
                <w:tcPr>
                  <w:tcW w:w="1033" w:type="dxa"/>
                  <w:vAlign w:val="center"/>
                </w:tcPr>
                <w:p w14:paraId="3AEAAC37">
                  <w:pPr>
                    <w:widowControl w:val="0"/>
                    <w:overflowPunct w:val="0"/>
                    <w:autoSpaceDE w:val="0"/>
                    <w:autoSpaceDN w:val="0"/>
                    <w:snapToGrid w:val="0"/>
                    <w:jc w:val="center"/>
                    <w:rPr>
                      <w:color w:val="auto"/>
                      <w:u w:val="single"/>
                      <w14:ligatures w14:val="standardContextual"/>
                    </w:rPr>
                  </w:pPr>
                  <w:r>
                    <w:rPr>
                      <w:color w:val="auto"/>
                      <w:u w:val="single"/>
                      <w14:ligatures w14:val="standardContextual"/>
                    </w:rPr>
                    <w:t>42520.00</w:t>
                  </w:r>
                </w:p>
              </w:tc>
              <w:tc>
                <w:tcPr>
                  <w:tcW w:w="919" w:type="dxa"/>
                  <w:vAlign w:val="center"/>
                </w:tcPr>
                <w:p w14:paraId="57DD93E5">
                  <w:pPr>
                    <w:widowControl w:val="0"/>
                    <w:overflowPunct w:val="0"/>
                    <w:autoSpaceDE w:val="0"/>
                    <w:autoSpaceDN w:val="0"/>
                    <w:snapToGrid w:val="0"/>
                    <w:jc w:val="center"/>
                    <w:rPr>
                      <w:color w:val="auto"/>
                      <w14:ligatures w14:val="standardContextual"/>
                    </w:rPr>
                  </w:pPr>
                  <w:r>
                    <w:rPr>
                      <w:color w:val="auto"/>
                      <w14:ligatures w14:val="standardContextual"/>
                    </w:rPr>
                    <w:t>/</w:t>
                  </w:r>
                </w:p>
              </w:tc>
            </w:tr>
            <w:tr w14:paraId="2BCDE4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555" w:type="dxa"/>
                  <w:vMerge w:val="continue"/>
                  <w:vAlign w:val="center"/>
                </w:tcPr>
                <w:p w14:paraId="3AE410A6">
                  <w:pPr>
                    <w:widowControl w:val="0"/>
                    <w:overflowPunct w:val="0"/>
                    <w:autoSpaceDE w:val="0"/>
                    <w:autoSpaceDN w:val="0"/>
                    <w:snapToGrid w:val="0"/>
                    <w:jc w:val="center"/>
                    <w:rPr>
                      <w:color w:val="auto"/>
                      <w14:ligatures w14:val="standardContextual"/>
                    </w:rPr>
                  </w:pPr>
                </w:p>
              </w:tc>
              <w:tc>
                <w:tcPr>
                  <w:tcW w:w="1169" w:type="dxa"/>
                  <w:noWrap/>
                  <w:vAlign w:val="center"/>
                </w:tcPr>
                <w:p w14:paraId="5A5F7EE7">
                  <w:pPr>
                    <w:widowControl w:val="0"/>
                    <w:overflowPunct w:val="0"/>
                    <w:autoSpaceDE w:val="0"/>
                    <w:autoSpaceDN w:val="0"/>
                    <w:snapToGrid w:val="0"/>
                    <w:jc w:val="center"/>
                    <w:rPr>
                      <w:color w:val="auto"/>
                      <w14:ligatures w14:val="standardContextual"/>
                    </w:rPr>
                  </w:pPr>
                  <w:r>
                    <w:rPr>
                      <w:color w:val="auto"/>
                      <w14:ligatures w14:val="standardContextual"/>
                    </w:rPr>
                    <w:t>COD</w:t>
                  </w:r>
                </w:p>
              </w:tc>
              <w:tc>
                <w:tcPr>
                  <w:tcW w:w="968" w:type="dxa"/>
                  <w:noWrap/>
                  <w:vAlign w:val="center"/>
                </w:tcPr>
                <w:p w14:paraId="1C945284">
                  <w:pPr>
                    <w:widowControl w:val="0"/>
                    <w:overflowPunct w:val="0"/>
                    <w:autoSpaceDE w:val="0"/>
                    <w:autoSpaceDN w:val="0"/>
                    <w:snapToGrid w:val="0"/>
                    <w:jc w:val="center"/>
                    <w:rPr>
                      <w:color w:val="auto"/>
                      <w14:ligatures w14:val="standardContextual"/>
                    </w:rPr>
                  </w:pPr>
                  <w:r>
                    <w:rPr>
                      <w:color w:val="auto"/>
                      <w14:ligatures w14:val="standardContextual"/>
                    </w:rPr>
                    <w:t>/</w:t>
                  </w:r>
                </w:p>
              </w:tc>
              <w:tc>
                <w:tcPr>
                  <w:tcW w:w="902" w:type="dxa"/>
                  <w:noWrap/>
                  <w:vAlign w:val="center"/>
                </w:tcPr>
                <w:p w14:paraId="012E4954">
                  <w:pPr>
                    <w:widowControl w:val="0"/>
                    <w:overflowPunct w:val="0"/>
                    <w:autoSpaceDE w:val="0"/>
                    <w:autoSpaceDN w:val="0"/>
                    <w:snapToGrid w:val="0"/>
                    <w:jc w:val="center"/>
                    <w:rPr>
                      <w:color w:val="auto"/>
                      <w14:ligatures w14:val="standardContextual"/>
                    </w:rPr>
                  </w:pPr>
                  <w:r>
                    <w:rPr>
                      <w:color w:val="auto"/>
                      <w14:ligatures w14:val="standardContextual"/>
                    </w:rPr>
                    <w:t>/</w:t>
                  </w:r>
                </w:p>
              </w:tc>
              <w:tc>
                <w:tcPr>
                  <w:tcW w:w="1271" w:type="dxa"/>
                  <w:noWrap/>
                  <w:vAlign w:val="center"/>
                </w:tcPr>
                <w:p w14:paraId="67BFD7E8">
                  <w:pPr>
                    <w:widowControl w:val="0"/>
                    <w:overflowPunct w:val="0"/>
                    <w:autoSpaceDE w:val="0"/>
                    <w:autoSpaceDN w:val="0"/>
                    <w:snapToGrid w:val="0"/>
                    <w:jc w:val="center"/>
                    <w:rPr>
                      <w:color w:val="auto"/>
                      <w14:ligatures w14:val="standardContextual"/>
                    </w:rPr>
                  </w:pPr>
                  <w:r>
                    <w:rPr>
                      <w:color w:val="auto"/>
                      <w14:ligatures w14:val="standardContextual"/>
                    </w:rPr>
                    <w:t>/</w:t>
                  </w:r>
                </w:p>
              </w:tc>
              <w:tc>
                <w:tcPr>
                  <w:tcW w:w="1121" w:type="dxa"/>
                  <w:vAlign w:val="center"/>
                </w:tcPr>
                <w:p w14:paraId="45CAC88E">
                  <w:pPr>
                    <w:widowControl w:val="0"/>
                    <w:overflowPunct w:val="0"/>
                    <w:autoSpaceDE w:val="0"/>
                    <w:autoSpaceDN w:val="0"/>
                    <w:snapToGrid w:val="0"/>
                    <w:jc w:val="center"/>
                    <w:rPr>
                      <w:color w:val="auto"/>
                      <w:u w:val="single"/>
                      <w14:ligatures w14:val="standardContextual"/>
                    </w:rPr>
                  </w:pPr>
                  <w:r>
                    <w:rPr>
                      <w:color w:val="auto"/>
                      <w:u w:val="single"/>
                      <w14:ligatures w14:val="standardContextual"/>
                    </w:rPr>
                    <w:t>199.6</w:t>
                  </w:r>
                </w:p>
              </w:tc>
              <w:tc>
                <w:tcPr>
                  <w:tcW w:w="1033" w:type="dxa"/>
                  <w:vAlign w:val="center"/>
                </w:tcPr>
                <w:p w14:paraId="0F7CDCC2">
                  <w:pPr>
                    <w:widowControl w:val="0"/>
                    <w:overflowPunct w:val="0"/>
                    <w:autoSpaceDE w:val="0"/>
                    <w:autoSpaceDN w:val="0"/>
                    <w:snapToGrid w:val="0"/>
                    <w:jc w:val="center"/>
                    <w:rPr>
                      <w:color w:val="auto"/>
                      <w:u w:val="single"/>
                      <w14:ligatures w14:val="standardContextual"/>
                    </w:rPr>
                  </w:pPr>
                  <w:r>
                    <w:rPr>
                      <w:color w:val="auto"/>
                      <w:u w:val="single"/>
                      <w14:ligatures w14:val="standardContextual"/>
                    </w:rPr>
                    <w:t>8.489</w:t>
                  </w:r>
                </w:p>
              </w:tc>
              <w:tc>
                <w:tcPr>
                  <w:tcW w:w="919" w:type="dxa"/>
                  <w:vAlign w:val="center"/>
                </w:tcPr>
                <w:p w14:paraId="442DCAE7">
                  <w:pPr>
                    <w:widowControl w:val="0"/>
                    <w:overflowPunct w:val="0"/>
                    <w:autoSpaceDE w:val="0"/>
                    <w:autoSpaceDN w:val="0"/>
                    <w:snapToGrid w:val="0"/>
                    <w:jc w:val="center"/>
                    <w:rPr>
                      <w:color w:val="auto"/>
                      <w14:ligatures w14:val="standardContextual"/>
                    </w:rPr>
                  </w:pPr>
                  <w:r>
                    <w:rPr>
                      <w:color w:val="auto"/>
                      <w14:ligatures w14:val="standardContextual"/>
                    </w:rPr>
                    <w:t>500</w:t>
                  </w:r>
                </w:p>
              </w:tc>
            </w:tr>
            <w:tr w14:paraId="343D14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555" w:type="dxa"/>
                  <w:vMerge w:val="continue"/>
                  <w:vAlign w:val="center"/>
                </w:tcPr>
                <w:p w14:paraId="14BA270C">
                  <w:pPr>
                    <w:widowControl w:val="0"/>
                    <w:overflowPunct w:val="0"/>
                    <w:autoSpaceDE w:val="0"/>
                    <w:autoSpaceDN w:val="0"/>
                    <w:snapToGrid w:val="0"/>
                    <w:jc w:val="center"/>
                    <w:rPr>
                      <w:color w:val="auto"/>
                      <w14:ligatures w14:val="standardContextual"/>
                    </w:rPr>
                  </w:pPr>
                </w:p>
              </w:tc>
              <w:tc>
                <w:tcPr>
                  <w:tcW w:w="1169" w:type="dxa"/>
                  <w:noWrap/>
                  <w:vAlign w:val="center"/>
                </w:tcPr>
                <w:p w14:paraId="4478A8E3">
                  <w:pPr>
                    <w:widowControl w:val="0"/>
                    <w:overflowPunct w:val="0"/>
                    <w:autoSpaceDE w:val="0"/>
                    <w:autoSpaceDN w:val="0"/>
                    <w:snapToGrid w:val="0"/>
                    <w:jc w:val="center"/>
                    <w:rPr>
                      <w:color w:val="auto"/>
                      <w14:ligatures w14:val="standardContextual"/>
                    </w:rPr>
                  </w:pPr>
                  <w:r>
                    <w:rPr>
                      <w:color w:val="auto"/>
                      <w14:ligatures w14:val="standardContextual"/>
                    </w:rPr>
                    <w:t>BOD</w:t>
                  </w:r>
                  <w:r>
                    <w:rPr>
                      <w:color w:val="auto"/>
                      <w:vertAlign w:val="subscript"/>
                      <w14:ligatures w14:val="standardContextual"/>
                    </w:rPr>
                    <w:t>5</w:t>
                  </w:r>
                </w:p>
              </w:tc>
              <w:tc>
                <w:tcPr>
                  <w:tcW w:w="968" w:type="dxa"/>
                  <w:noWrap/>
                  <w:vAlign w:val="center"/>
                </w:tcPr>
                <w:p w14:paraId="63F3E8C6">
                  <w:pPr>
                    <w:widowControl w:val="0"/>
                    <w:overflowPunct w:val="0"/>
                    <w:autoSpaceDE w:val="0"/>
                    <w:autoSpaceDN w:val="0"/>
                    <w:snapToGrid w:val="0"/>
                    <w:jc w:val="center"/>
                    <w:rPr>
                      <w:color w:val="auto"/>
                      <w14:ligatures w14:val="standardContextual"/>
                    </w:rPr>
                  </w:pPr>
                  <w:r>
                    <w:rPr>
                      <w:color w:val="auto"/>
                      <w14:ligatures w14:val="standardContextual"/>
                    </w:rPr>
                    <w:t>/</w:t>
                  </w:r>
                </w:p>
              </w:tc>
              <w:tc>
                <w:tcPr>
                  <w:tcW w:w="902" w:type="dxa"/>
                  <w:noWrap/>
                  <w:vAlign w:val="center"/>
                </w:tcPr>
                <w:p w14:paraId="1F35EBBE">
                  <w:pPr>
                    <w:widowControl w:val="0"/>
                    <w:overflowPunct w:val="0"/>
                    <w:autoSpaceDE w:val="0"/>
                    <w:autoSpaceDN w:val="0"/>
                    <w:snapToGrid w:val="0"/>
                    <w:jc w:val="center"/>
                    <w:rPr>
                      <w:color w:val="auto"/>
                      <w14:ligatures w14:val="standardContextual"/>
                    </w:rPr>
                  </w:pPr>
                  <w:r>
                    <w:rPr>
                      <w:color w:val="auto"/>
                      <w14:ligatures w14:val="standardContextual"/>
                    </w:rPr>
                    <w:t>/</w:t>
                  </w:r>
                </w:p>
              </w:tc>
              <w:tc>
                <w:tcPr>
                  <w:tcW w:w="1271" w:type="dxa"/>
                  <w:noWrap/>
                  <w:vAlign w:val="center"/>
                </w:tcPr>
                <w:p w14:paraId="72A19C81">
                  <w:pPr>
                    <w:widowControl w:val="0"/>
                    <w:overflowPunct w:val="0"/>
                    <w:autoSpaceDE w:val="0"/>
                    <w:autoSpaceDN w:val="0"/>
                    <w:snapToGrid w:val="0"/>
                    <w:jc w:val="center"/>
                    <w:rPr>
                      <w:color w:val="auto"/>
                      <w14:ligatures w14:val="standardContextual"/>
                    </w:rPr>
                  </w:pPr>
                  <w:r>
                    <w:rPr>
                      <w:color w:val="auto"/>
                      <w14:ligatures w14:val="standardContextual"/>
                    </w:rPr>
                    <w:t>/</w:t>
                  </w:r>
                </w:p>
              </w:tc>
              <w:tc>
                <w:tcPr>
                  <w:tcW w:w="1121" w:type="dxa"/>
                  <w:vAlign w:val="center"/>
                </w:tcPr>
                <w:p w14:paraId="3CFE01D1">
                  <w:pPr>
                    <w:widowControl w:val="0"/>
                    <w:overflowPunct w:val="0"/>
                    <w:autoSpaceDE w:val="0"/>
                    <w:autoSpaceDN w:val="0"/>
                    <w:snapToGrid w:val="0"/>
                    <w:jc w:val="center"/>
                    <w:rPr>
                      <w:color w:val="auto"/>
                      <w:u w:val="single"/>
                      <w14:ligatures w14:val="standardContextual"/>
                    </w:rPr>
                  </w:pPr>
                  <w:r>
                    <w:rPr>
                      <w:color w:val="auto"/>
                      <w:u w:val="single"/>
                      <w14:ligatures w14:val="standardContextual"/>
                    </w:rPr>
                    <w:t>0.3</w:t>
                  </w:r>
                </w:p>
              </w:tc>
              <w:tc>
                <w:tcPr>
                  <w:tcW w:w="1033" w:type="dxa"/>
                  <w:vAlign w:val="center"/>
                </w:tcPr>
                <w:p w14:paraId="779879A0">
                  <w:pPr>
                    <w:widowControl w:val="0"/>
                    <w:overflowPunct w:val="0"/>
                    <w:autoSpaceDE w:val="0"/>
                    <w:autoSpaceDN w:val="0"/>
                    <w:snapToGrid w:val="0"/>
                    <w:jc w:val="center"/>
                    <w:rPr>
                      <w:color w:val="auto"/>
                      <w:u w:val="single"/>
                      <w14:ligatures w14:val="standardContextual"/>
                    </w:rPr>
                  </w:pPr>
                  <w:r>
                    <w:rPr>
                      <w:color w:val="auto"/>
                      <w:u w:val="single"/>
                      <w14:ligatures w14:val="standardContextual"/>
                    </w:rPr>
                    <w:t>0.013</w:t>
                  </w:r>
                </w:p>
              </w:tc>
              <w:tc>
                <w:tcPr>
                  <w:tcW w:w="919" w:type="dxa"/>
                  <w:vAlign w:val="center"/>
                </w:tcPr>
                <w:p w14:paraId="2F7EF300">
                  <w:pPr>
                    <w:widowControl w:val="0"/>
                    <w:overflowPunct w:val="0"/>
                    <w:autoSpaceDE w:val="0"/>
                    <w:autoSpaceDN w:val="0"/>
                    <w:snapToGrid w:val="0"/>
                    <w:jc w:val="center"/>
                    <w:rPr>
                      <w:color w:val="auto"/>
                      <w14:ligatures w14:val="standardContextual"/>
                    </w:rPr>
                  </w:pPr>
                  <w:r>
                    <w:rPr>
                      <w:color w:val="auto"/>
                      <w14:ligatures w14:val="standardContextual"/>
                    </w:rPr>
                    <w:t>200</w:t>
                  </w:r>
                </w:p>
              </w:tc>
            </w:tr>
            <w:tr w14:paraId="7B9439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555" w:type="dxa"/>
                  <w:vMerge w:val="continue"/>
                  <w:vAlign w:val="center"/>
                </w:tcPr>
                <w:p w14:paraId="2655BE79">
                  <w:pPr>
                    <w:widowControl w:val="0"/>
                    <w:overflowPunct w:val="0"/>
                    <w:autoSpaceDE w:val="0"/>
                    <w:autoSpaceDN w:val="0"/>
                    <w:snapToGrid w:val="0"/>
                    <w:jc w:val="center"/>
                    <w:rPr>
                      <w:color w:val="auto"/>
                      <w14:ligatures w14:val="standardContextual"/>
                    </w:rPr>
                  </w:pPr>
                </w:p>
              </w:tc>
              <w:tc>
                <w:tcPr>
                  <w:tcW w:w="1169" w:type="dxa"/>
                  <w:noWrap/>
                  <w:vAlign w:val="center"/>
                </w:tcPr>
                <w:p w14:paraId="4278E22D">
                  <w:pPr>
                    <w:widowControl w:val="0"/>
                    <w:overflowPunct w:val="0"/>
                    <w:autoSpaceDE w:val="0"/>
                    <w:autoSpaceDN w:val="0"/>
                    <w:snapToGrid w:val="0"/>
                    <w:jc w:val="center"/>
                    <w:rPr>
                      <w:color w:val="auto"/>
                      <w14:ligatures w14:val="standardContextual"/>
                    </w:rPr>
                  </w:pPr>
                  <w:r>
                    <w:rPr>
                      <w:color w:val="auto"/>
                      <w14:ligatures w14:val="standardContextual"/>
                    </w:rPr>
                    <w:t>SS</w:t>
                  </w:r>
                </w:p>
              </w:tc>
              <w:tc>
                <w:tcPr>
                  <w:tcW w:w="968" w:type="dxa"/>
                  <w:noWrap/>
                  <w:vAlign w:val="center"/>
                </w:tcPr>
                <w:p w14:paraId="3289B75C">
                  <w:pPr>
                    <w:widowControl w:val="0"/>
                    <w:overflowPunct w:val="0"/>
                    <w:autoSpaceDE w:val="0"/>
                    <w:autoSpaceDN w:val="0"/>
                    <w:snapToGrid w:val="0"/>
                    <w:jc w:val="center"/>
                    <w:rPr>
                      <w:color w:val="auto"/>
                      <w14:ligatures w14:val="standardContextual"/>
                    </w:rPr>
                  </w:pPr>
                  <w:r>
                    <w:rPr>
                      <w:color w:val="auto"/>
                      <w14:ligatures w14:val="standardContextual"/>
                    </w:rPr>
                    <w:t>/</w:t>
                  </w:r>
                </w:p>
              </w:tc>
              <w:tc>
                <w:tcPr>
                  <w:tcW w:w="902" w:type="dxa"/>
                  <w:noWrap/>
                  <w:vAlign w:val="center"/>
                </w:tcPr>
                <w:p w14:paraId="684C042F">
                  <w:pPr>
                    <w:widowControl w:val="0"/>
                    <w:overflowPunct w:val="0"/>
                    <w:autoSpaceDE w:val="0"/>
                    <w:autoSpaceDN w:val="0"/>
                    <w:snapToGrid w:val="0"/>
                    <w:jc w:val="center"/>
                    <w:rPr>
                      <w:color w:val="auto"/>
                      <w14:ligatures w14:val="standardContextual"/>
                    </w:rPr>
                  </w:pPr>
                  <w:r>
                    <w:rPr>
                      <w:color w:val="auto"/>
                      <w14:ligatures w14:val="standardContextual"/>
                    </w:rPr>
                    <w:t>/</w:t>
                  </w:r>
                </w:p>
              </w:tc>
              <w:tc>
                <w:tcPr>
                  <w:tcW w:w="1271" w:type="dxa"/>
                  <w:noWrap/>
                  <w:vAlign w:val="center"/>
                </w:tcPr>
                <w:p w14:paraId="47496F04">
                  <w:pPr>
                    <w:widowControl w:val="0"/>
                    <w:overflowPunct w:val="0"/>
                    <w:autoSpaceDE w:val="0"/>
                    <w:autoSpaceDN w:val="0"/>
                    <w:snapToGrid w:val="0"/>
                    <w:jc w:val="center"/>
                    <w:rPr>
                      <w:color w:val="auto"/>
                      <w14:ligatures w14:val="standardContextual"/>
                    </w:rPr>
                  </w:pPr>
                  <w:r>
                    <w:rPr>
                      <w:color w:val="auto"/>
                      <w14:ligatures w14:val="standardContextual"/>
                    </w:rPr>
                    <w:t>/</w:t>
                  </w:r>
                </w:p>
              </w:tc>
              <w:tc>
                <w:tcPr>
                  <w:tcW w:w="1121" w:type="dxa"/>
                  <w:vAlign w:val="center"/>
                </w:tcPr>
                <w:p w14:paraId="6734D487">
                  <w:pPr>
                    <w:widowControl w:val="0"/>
                    <w:overflowPunct w:val="0"/>
                    <w:autoSpaceDE w:val="0"/>
                    <w:autoSpaceDN w:val="0"/>
                    <w:snapToGrid w:val="0"/>
                    <w:jc w:val="center"/>
                    <w:rPr>
                      <w:color w:val="auto"/>
                      <w:u w:val="single"/>
                      <w14:ligatures w14:val="standardContextual"/>
                    </w:rPr>
                  </w:pPr>
                  <w:r>
                    <w:rPr>
                      <w:color w:val="auto"/>
                      <w:u w:val="single"/>
                      <w14:ligatures w14:val="standardContextual"/>
                    </w:rPr>
                    <w:t>298.6</w:t>
                  </w:r>
                </w:p>
              </w:tc>
              <w:tc>
                <w:tcPr>
                  <w:tcW w:w="1033" w:type="dxa"/>
                  <w:vAlign w:val="center"/>
                </w:tcPr>
                <w:p w14:paraId="70CA2458">
                  <w:pPr>
                    <w:widowControl w:val="0"/>
                    <w:overflowPunct w:val="0"/>
                    <w:autoSpaceDE w:val="0"/>
                    <w:autoSpaceDN w:val="0"/>
                    <w:snapToGrid w:val="0"/>
                    <w:jc w:val="center"/>
                    <w:rPr>
                      <w:color w:val="auto"/>
                      <w:u w:val="single"/>
                      <w14:ligatures w14:val="standardContextual"/>
                    </w:rPr>
                  </w:pPr>
                  <w:r>
                    <w:rPr>
                      <w:color w:val="auto"/>
                      <w:u w:val="single"/>
                      <w14:ligatures w14:val="standardContextual"/>
                    </w:rPr>
                    <w:t>12.695</w:t>
                  </w:r>
                </w:p>
              </w:tc>
              <w:tc>
                <w:tcPr>
                  <w:tcW w:w="919" w:type="dxa"/>
                  <w:vAlign w:val="center"/>
                </w:tcPr>
                <w:p w14:paraId="15E133FD">
                  <w:pPr>
                    <w:widowControl w:val="0"/>
                    <w:overflowPunct w:val="0"/>
                    <w:autoSpaceDE w:val="0"/>
                    <w:autoSpaceDN w:val="0"/>
                    <w:snapToGrid w:val="0"/>
                    <w:jc w:val="center"/>
                    <w:rPr>
                      <w:color w:val="auto"/>
                      <w14:ligatures w14:val="standardContextual"/>
                    </w:rPr>
                  </w:pPr>
                  <w:r>
                    <w:rPr>
                      <w:color w:val="auto"/>
                      <w14:ligatures w14:val="standardContextual"/>
                    </w:rPr>
                    <w:t>300</w:t>
                  </w:r>
                </w:p>
              </w:tc>
            </w:tr>
            <w:tr w14:paraId="2B279B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555" w:type="dxa"/>
                  <w:vMerge w:val="continue"/>
                  <w:vAlign w:val="center"/>
                </w:tcPr>
                <w:p w14:paraId="007516EA">
                  <w:pPr>
                    <w:widowControl w:val="0"/>
                    <w:overflowPunct w:val="0"/>
                    <w:autoSpaceDE w:val="0"/>
                    <w:autoSpaceDN w:val="0"/>
                    <w:snapToGrid w:val="0"/>
                    <w:jc w:val="center"/>
                    <w:rPr>
                      <w:color w:val="auto"/>
                      <w14:ligatures w14:val="standardContextual"/>
                    </w:rPr>
                  </w:pPr>
                </w:p>
              </w:tc>
              <w:tc>
                <w:tcPr>
                  <w:tcW w:w="1169" w:type="dxa"/>
                  <w:noWrap/>
                  <w:vAlign w:val="center"/>
                </w:tcPr>
                <w:p w14:paraId="26FCAEB4">
                  <w:pPr>
                    <w:widowControl w:val="0"/>
                    <w:overflowPunct w:val="0"/>
                    <w:autoSpaceDE w:val="0"/>
                    <w:autoSpaceDN w:val="0"/>
                    <w:snapToGrid w:val="0"/>
                    <w:jc w:val="center"/>
                    <w:rPr>
                      <w:color w:val="auto"/>
                      <w14:ligatures w14:val="standardContextual"/>
                    </w:rPr>
                  </w:pPr>
                  <w:r>
                    <w:rPr>
                      <w:rFonts w:hint="eastAsia"/>
                      <w:color w:val="auto"/>
                      <w14:ligatures w14:val="standardContextual"/>
                    </w:rPr>
                    <w:t>氨氮</w:t>
                  </w:r>
                </w:p>
              </w:tc>
              <w:tc>
                <w:tcPr>
                  <w:tcW w:w="968" w:type="dxa"/>
                  <w:noWrap/>
                  <w:vAlign w:val="center"/>
                </w:tcPr>
                <w:p w14:paraId="46C702DD">
                  <w:pPr>
                    <w:widowControl w:val="0"/>
                    <w:overflowPunct w:val="0"/>
                    <w:autoSpaceDE w:val="0"/>
                    <w:autoSpaceDN w:val="0"/>
                    <w:snapToGrid w:val="0"/>
                    <w:jc w:val="center"/>
                    <w:rPr>
                      <w:color w:val="auto"/>
                      <w14:ligatures w14:val="standardContextual"/>
                    </w:rPr>
                  </w:pPr>
                  <w:r>
                    <w:rPr>
                      <w:color w:val="auto"/>
                      <w14:ligatures w14:val="standardContextual"/>
                    </w:rPr>
                    <w:t>/</w:t>
                  </w:r>
                </w:p>
              </w:tc>
              <w:tc>
                <w:tcPr>
                  <w:tcW w:w="902" w:type="dxa"/>
                  <w:noWrap/>
                  <w:vAlign w:val="center"/>
                </w:tcPr>
                <w:p w14:paraId="5BC5A499">
                  <w:pPr>
                    <w:widowControl w:val="0"/>
                    <w:overflowPunct w:val="0"/>
                    <w:autoSpaceDE w:val="0"/>
                    <w:autoSpaceDN w:val="0"/>
                    <w:snapToGrid w:val="0"/>
                    <w:jc w:val="center"/>
                    <w:rPr>
                      <w:color w:val="auto"/>
                      <w14:ligatures w14:val="standardContextual"/>
                    </w:rPr>
                  </w:pPr>
                  <w:r>
                    <w:rPr>
                      <w:color w:val="auto"/>
                      <w14:ligatures w14:val="standardContextual"/>
                    </w:rPr>
                    <w:t>/</w:t>
                  </w:r>
                </w:p>
              </w:tc>
              <w:tc>
                <w:tcPr>
                  <w:tcW w:w="1271" w:type="dxa"/>
                  <w:noWrap/>
                  <w:vAlign w:val="center"/>
                </w:tcPr>
                <w:p w14:paraId="48486EAD">
                  <w:pPr>
                    <w:widowControl w:val="0"/>
                    <w:overflowPunct w:val="0"/>
                    <w:autoSpaceDE w:val="0"/>
                    <w:autoSpaceDN w:val="0"/>
                    <w:snapToGrid w:val="0"/>
                    <w:jc w:val="center"/>
                    <w:rPr>
                      <w:color w:val="auto"/>
                      <w14:ligatures w14:val="standardContextual"/>
                    </w:rPr>
                  </w:pPr>
                  <w:r>
                    <w:rPr>
                      <w:color w:val="auto"/>
                      <w14:ligatures w14:val="standardContextual"/>
                    </w:rPr>
                    <w:t>/</w:t>
                  </w:r>
                </w:p>
              </w:tc>
              <w:tc>
                <w:tcPr>
                  <w:tcW w:w="1121" w:type="dxa"/>
                  <w:vAlign w:val="center"/>
                </w:tcPr>
                <w:p w14:paraId="1DCACEAC">
                  <w:pPr>
                    <w:widowControl w:val="0"/>
                    <w:overflowPunct w:val="0"/>
                    <w:autoSpaceDE w:val="0"/>
                    <w:autoSpaceDN w:val="0"/>
                    <w:snapToGrid w:val="0"/>
                    <w:jc w:val="center"/>
                    <w:rPr>
                      <w:color w:val="auto"/>
                      <w:u w:val="single"/>
                      <w14:ligatures w14:val="standardContextual"/>
                    </w:rPr>
                  </w:pPr>
                  <w:r>
                    <w:rPr>
                      <w:color w:val="auto"/>
                      <w:u w:val="single"/>
                      <w14:ligatures w14:val="standardContextual"/>
                    </w:rPr>
                    <w:t>19.9</w:t>
                  </w:r>
                </w:p>
              </w:tc>
              <w:tc>
                <w:tcPr>
                  <w:tcW w:w="1033" w:type="dxa"/>
                  <w:vAlign w:val="center"/>
                </w:tcPr>
                <w:p w14:paraId="08675E93">
                  <w:pPr>
                    <w:widowControl w:val="0"/>
                    <w:overflowPunct w:val="0"/>
                    <w:autoSpaceDE w:val="0"/>
                    <w:autoSpaceDN w:val="0"/>
                    <w:snapToGrid w:val="0"/>
                    <w:jc w:val="center"/>
                    <w:rPr>
                      <w:color w:val="auto"/>
                      <w:u w:val="single"/>
                      <w14:ligatures w14:val="standardContextual"/>
                    </w:rPr>
                  </w:pPr>
                  <w:r>
                    <w:rPr>
                      <w:color w:val="auto"/>
                      <w:u w:val="single"/>
                      <w14:ligatures w14:val="standardContextual"/>
                    </w:rPr>
                    <w:t>0.847</w:t>
                  </w:r>
                </w:p>
              </w:tc>
              <w:tc>
                <w:tcPr>
                  <w:tcW w:w="919" w:type="dxa"/>
                  <w:vAlign w:val="center"/>
                </w:tcPr>
                <w:p w14:paraId="00A3E8D3">
                  <w:pPr>
                    <w:widowControl w:val="0"/>
                    <w:overflowPunct w:val="0"/>
                    <w:autoSpaceDE w:val="0"/>
                    <w:autoSpaceDN w:val="0"/>
                    <w:snapToGrid w:val="0"/>
                    <w:jc w:val="center"/>
                    <w:rPr>
                      <w:color w:val="auto"/>
                      <w14:ligatures w14:val="standardContextual"/>
                    </w:rPr>
                  </w:pPr>
                  <w:r>
                    <w:rPr>
                      <w:rFonts w:hint="eastAsia"/>
                      <w:color w:val="auto"/>
                      <w14:ligatures w14:val="standardContextual"/>
                    </w:rPr>
                    <w:t>35</w:t>
                  </w:r>
                </w:p>
              </w:tc>
            </w:tr>
            <w:tr w14:paraId="0B619B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555" w:type="dxa"/>
                  <w:vMerge w:val="continue"/>
                  <w:vAlign w:val="center"/>
                </w:tcPr>
                <w:p w14:paraId="298D12F2">
                  <w:pPr>
                    <w:widowControl w:val="0"/>
                    <w:overflowPunct w:val="0"/>
                    <w:autoSpaceDE w:val="0"/>
                    <w:autoSpaceDN w:val="0"/>
                    <w:snapToGrid w:val="0"/>
                    <w:jc w:val="center"/>
                    <w:rPr>
                      <w:color w:val="auto"/>
                      <w14:ligatures w14:val="standardContextual"/>
                    </w:rPr>
                  </w:pPr>
                </w:p>
              </w:tc>
              <w:tc>
                <w:tcPr>
                  <w:tcW w:w="1169" w:type="dxa"/>
                  <w:noWrap/>
                  <w:vAlign w:val="center"/>
                </w:tcPr>
                <w:p w14:paraId="241CA8FE">
                  <w:pPr>
                    <w:widowControl w:val="0"/>
                    <w:overflowPunct w:val="0"/>
                    <w:autoSpaceDE w:val="0"/>
                    <w:autoSpaceDN w:val="0"/>
                    <w:snapToGrid w:val="0"/>
                    <w:jc w:val="center"/>
                    <w:rPr>
                      <w:color w:val="auto"/>
                      <w14:ligatures w14:val="standardContextual"/>
                    </w:rPr>
                  </w:pPr>
                  <w:r>
                    <w:rPr>
                      <w:rFonts w:hint="eastAsia"/>
                      <w:color w:val="auto"/>
                      <w14:ligatures w14:val="standardContextual"/>
                    </w:rPr>
                    <w:t>总磷</w:t>
                  </w:r>
                </w:p>
              </w:tc>
              <w:tc>
                <w:tcPr>
                  <w:tcW w:w="968" w:type="dxa"/>
                  <w:noWrap/>
                  <w:vAlign w:val="center"/>
                </w:tcPr>
                <w:p w14:paraId="7A8BD6A6">
                  <w:pPr>
                    <w:widowControl w:val="0"/>
                    <w:overflowPunct w:val="0"/>
                    <w:autoSpaceDE w:val="0"/>
                    <w:autoSpaceDN w:val="0"/>
                    <w:snapToGrid w:val="0"/>
                    <w:jc w:val="center"/>
                    <w:rPr>
                      <w:color w:val="auto"/>
                      <w14:ligatures w14:val="standardContextual"/>
                    </w:rPr>
                  </w:pPr>
                  <w:r>
                    <w:rPr>
                      <w:color w:val="auto"/>
                      <w14:ligatures w14:val="standardContextual"/>
                    </w:rPr>
                    <w:t>/</w:t>
                  </w:r>
                </w:p>
              </w:tc>
              <w:tc>
                <w:tcPr>
                  <w:tcW w:w="902" w:type="dxa"/>
                  <w:noWrap/>
                  <w:vAlign w:val="center"/>
                </w:tcPr>
                <w:p w14:paraId="61B6939A">
                  <w:pPr>
                    <w:widowControl w:val="0"/>
                    <w:overflowPunct w:val="0"/>
                    <w:autoSpaceDE w:val="0"/>
                    <w:autoSpaceDN w:val="0"/>
                    <w:snapToGrid w:val="0"/>
                    <w:jc w:val="center"/>
                    <w:rPr>
                      <w:color w:val="auto"/>
                      <w14:ligatures w14:val="standardContextual"/>
                    </w:rPr>
                  </w:pPr>
                  <w:r>
                    <w:rPr>
                      <w:color w:val="auto"/>
                      <w14:ligatures w14:val="standardContextual"/>
                    </w:rPr>
                    <w:t>/</w:t>
                  </w:r>
                </w:p>
              </w:tc>
              <w:tc>
                <w:tcPr>
                  <w:tcW w:w="1271" w:type="dxa"/>
                  <w:noWrap/>
                  <w:vAlign w:val="center"/>
                </w:tcPr>
                <w:p w14:paraId="344975C1">
                  <w:pPr>
                    <w:widowControl w:val="0"/>
                    <w:overflowPunct w:val="0"/>
                    <w:autoSpaceDE w:val="0"/>
                    <w:autoSpaceDN w:val="0"/>
                    <w:snapToGrid w:val="0"/>
                    <w:jc w:val="center"/>
                    <w:rPr>
                      <w:color w:val="auto"/>
                      <w14:ligatures w14:val="standardContextual"/>
                    </w:rPr>
                  </w:pPr>
                  <w:r>
                    <w:rPr>
                      <w:color w:val="auto"/>
                      <w14:ligatures w14:val="standardContextual"/>
                    </w:rPr>
                    <w:t>/</w:t>
                  </w:r>
                </w:p>
              </w:tc>
              <w:tc>
                <w:tcPr>
                  <w:tcW w:w="1121" w:type="dxa"/>
                  <w:vAlign w:val="center"/>
                </w:tcPr>
                <w:p w14:paraId="01373BCB">
                  <w:pPr>
                    <w:widowControl w:val="0"/>
                    <w:overflowPunct w:val="0"/>
                    <w:autoSpaceDE w:val="0"/>
                    <w:autoSpaceDN w:val="0"/>
                    <w:snapToGrid w:val="0"/>
                    <w:jc w:val="center"/>
                    <w:rPr>
                      <w:color w:val="auto"/>
                      <w:u w:val="single"/>
                      <w14:ligatures w14:val="standardContextual"/>
                    </w:rPr>
                  </w:pPr>
                  <w:r>
                    <w:rPr>
                      <w:color w:val="auto"/>
                      <w:u w:val="single"/>
                      <w14:ligatures w14:val="standardContextual"/>
                    </w:rPr>
                    <w:t>0.00</w:t>
                  </w:r>
                </w:p>
              </w:tc>
              <w:tc>
                <w:tcPr>
                  <w:tcW w:w="1033" w:type="dxa"/>
                  <w:vAlign w:val="center"/>
                </w:tcPr>
                <w:p w14:paraId="3EFD8395">
                  <w:pPr>
                    <w:widowControl w:val="0"/>
                    <w:overflowPunct w:val="0"/>
                    <w:autoSpaceDE w:val="0"/>
                    <w:autoSpaceDN w:val="0"/>
                    <w:snapToGrid w:val="0"/>
                    <w:jc w:val="center"/>
                    <w:rPr>
                      <w:color w:val="auto"/>
                      <w:u w:val="single"/>
                      <w14:ligatures w14:val="standardContextual"/>
                    </w:rPr>
                  </w:pPr>
                  <w:r>
                    <w:rPr>
                      <w:color w:val="auto"/>
                      <w:u w:val="single"/>
                      <w14:ligatures w14:val="standardContextual"/>
                    </w:rPr>
                    <w:t>0.0002</w:t>
                  </w:r>
                </w:p>
              </w:tc>
              <w:tc>
                <w:tcPr>
                  <w:tcW w:w="919" w:type="dxa"/>
                  <w:vAlign w:val="center"/>
                </w:tcPr>
                <w:p w14:paraId="1EADC4BF">
                  <w:pPr>
                    <w:widowControl w:val="0"/>
                    <w:overflowPunct w:val="0"/>
                    <w:autoSpaceDE w:val="0"/>
                    <w:autoSpaceDN w:val="0"/>
                    <w:snapToGrid w:val="0"/>
                    <w:jc w:val="center"/>
                    <w:rPr>
                      <w:color w:val="auto"/>
                      <w14:ligatures w14:val="standardContextual"/>
                    </w:rPr>
                  </w:pPr>
                  <w:r>
                    <w:rPr>
                      <w:rFonts w:hint="eastAsia"/>
                      <w:color w:val="auto"/>
                      <w14:ligatures w14:val="standardContextual"/>
                    </w:rPr>
                    <w:t>4.5</w:t>
                  </w:r>
                </w:p>
              </w:tc>
            </w:tr>
            <w:tr w14:paraId="17E3A6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555" w:type="dxa"/>
                  <w:vMerge w:val="continue"/>
                  <w:vAlign w:val="center"/>
                </w:tcPr>
                <w:p w14:paraId="3A9BDA22">
                  <w:pPr>
                    <w:widowControl w:val="0"/>
                    <w:overflowPunct w:val="0"/>
                    <w:autoSpaceDE w:val="0"/>
                    <w:autoSpaceDN w:val="0"/>
                    <w:snapToGrid w:val="0"/>
                    <w:jc w:val="center"/>
                    <w:rPr>
                      <w:color w:val="auto"/>
                      <w14:ligatures w14:val="standardContextual"/>
                    </w:rPr>
                  </w:pPr>
                </w:p>
              </w:tc>
              <w:tc>
                <w:tcPr>
                  <w:tcW w:w="1169" w:type="dxa"/>
                  <w:noWrap/>
                  <w:vAlign w:val="center"/>
                </w:tcPr>
                <w:p w14:paraId="080C2D1C">
                  <w:pPr>
                    <w:widowControl w:val="0"/>
                    <w:overflowPunct w:val="0"/>
                    <w:autoSpaceDE w:val="0"/>
                    <w:autoSpaceDN w:val="0"/>
                    <w:snapToGrid w:val="0"/>
                    <w:jc w:val="center"/>
                    <w:rPr>
                      <w:color w:val="auto"/>
                      <w14:ligatures w14:val="standardContextual"/>
                    </w:rPr>
                  </w:pPr>
                  <w:r>
                    <w:rPr>
                      <w:rFonts w:hint="eastAsia"/>
                      <w:color w:val="auto"/>
                      <w14:ligatures w14:val="standardContextual"/>
                    </w:rPr>
                    <w:t>总氮</w:t>
                  </w:r>
                </w:p>
              </w:tc>
              <w:tc>
                <w:tcPr>
                  <w:tcW w:w="968" w:type="dxa"/>
                  <w:noWrap/>
                  <w:vAlign w:val="center"/>
                </w:tcPr>
                <w:p w14:paraId="562B4E15">
                  <w:pPr>
                    <w:widowControl w:val="0"/>
                    <w:overflowPunct w:val="0"/>
                    <w:autoSpaceDE w:val="0"/>
                    <w:autoSpaceDN w:val="0"/>
                    <w:snapToGrid w:val="0"/>
                    <w:jc w:val="center"/>
                    <w:rPr>
                      <w:color w:val="auto"/>
                      <w14:ligatures w14:val="standardContextual"/>
                    </w:rPr>
                  </w:pPr>
                  <w:r>
                    <w:rPr>
                      <w:color w:val="auto"/>
                      <w14:ligatures w14:val="standardContextual"/>
                    </w:rPr>
                    <w:t>/</w:t>
                  </w:r>
                </w:p>
              </w:tc>
              <w:tc>
                <w:tcPr>
                  <w:tcW w:w="902" w:type="dxa"/>
                  <w:noWrap/>
                  <w:vAlign w:val="center"/>
                </w:tcPr>
                <w:p w14:paraId="565F5D56">
                  <w:pPr>
                    <w:widowControl w:val="0"/>
                    <w:overflowPunct w:val="0"/>
                    <w:autoSpaceDE w:val="0"/>
                    <w:autoSpaceDN w:val="0"/>
                    <w:snapToGrid w:val="0"/>
                    <w:jc w:val="center"/>
                    <w:rPr>
                      <w:color w:val="auto"/>
                      <w14:ligatures w14:val="standardContextual"/>
                    </w:rPr>
                  </w:pPr>
                  <w:r>
                    <w:rPr>
                      <w:color w:val="auto"/>
                      <w14:ligatures w14:val="standardContextual"/>
                    </w:rPr>
                    <w:t>/</w:t>
                  </w:r>
                </w:p>
              </w:tc>
              <w:tc>
                <w:tcPr>
                  <w:tcW w:w="1271" w:type="dxa"/>
                  <w:noWrap/>
                  <w:vAlign w:val="center"/>
                </w:tcPr>
                <w:p w14:paraId="238C80B0">
                  <w:pPr>
                    <w:widowControl w:val="0"/>
                    <w:overflowPunct w:val="0"/>
                    <w:autoSpaceDE w:val="0"/>
                    <w:autoSpaceDN w:val="0"/>
                    <w:snapToGrid w:val="0"/>
                    <w:jc w:val="center"/>
                    <w:rPr>
                      <w:color w:val="auto"/>
                      <w14:ligatures w14:val="standardContextual"/>
                    </w:rPr>
                  </w:pPr>
                  <w:r>
                    <w:rPr>
                      <w:color w:val="auto"/>
                      <w14:ligatures w14:val="standardContextual"/>
                    </w:rPr>
                    <w:t>/</w:t>
                  </w:r>
                </w:p>
              </w:tc>
              <w:tc>
                <w:tcPr>
                  <w:tcW w:w="1121" w:type="dxa"/>
                  <w:vAlign w:val="center"/>
                </w:tcPr>
                <w:p w14:paraId="6031AE9C">
                  <w:pPr>
                    <w:widowControl w:val="0"/>
                    <w:overflowPunct w:val="0"/>
                    <w:autoSpaceDE w:val="0"/>
                    <w:autoSpaceDN w:val="0"/>
                    <w:snapToGrid w:val="0"/>
                    <w:jc w:val="center"/>
                    <w:rPr>
                      <w:color w:val="auto"/>
                      <w:u w:val="single"/>
                      <w14:ligatures w14:val="standardContextual"/>
                    </w:rPr>
                  </w:pPr>
                  <w:r>
                    <w:rPr>
                      <w:color w:val="auto"/>
                      <w:u w:val="single"/>
                      <w14:ligatures w14:val="standardContextual"/>
                    </w:rPr>
                    <w:t>0.1</w:t>
                  </w:r>
                </w:p>
              </w:tc>
              <w:tc>
                <w:tcPr>
                  <w:tcW w:w="1033" w:type="dxa"/>
                  <w:vAlign w:val="center"/>
                </w:tcPr>
                <w:p w14:paraId="6D048C3B">
                  <w:pPr>
                    <w:widowControl w:val="0"/>
                    <w:overflowPunct w:val="0"/>
                    <w:autoSpaceDE w:val="0"/>
                    <w:autoSpaceDN w:val="0"/>
                    <w:snapToGrid w:val="0"/>
                    <w:jc w:val="center"/>
                    <w:rPr>
                      <w:color w:val="auto"/>
                      <w:u w:val="single"/>
                      <w14:ligatures w14:val="standardContextual"/>
                    </w:rPr>
                  </w:pPr>
                  <w:r>
                    <w:rPr>
                      <w:color w:val="auto"/>
                      <w:u w:val="single"/>
                      <w14:ligatures w14:val="standardContextual"/>
                    </w:rPr>
                    <w:t>0.004</w:t>
                  </w:r>
                </w:p>
              </w:tc>
              <w:tc>
                <w:tcPr>
                  <w:tcW w:w="919" w:type="dxa"/>
                  <w:vAlign w:val="center"/>
                </w:tcPr>
                <w:p w14:paraId="6284B369">
                  <w:pPr>
                    <w:widowControl w:val="0"/>
                    <w:overflowPunct w:val="0"/>
                    <w:autoSpaceDE w:val="0"/>
                    <w:autoSpaceDN w:val="0"/>
                    <w:snapToGrid w:val="0"/>
                    <w:jc w:val="center"/>
                    <w:rPr>
                      <w:color w:val="auto"/>
                      <w14:ligatures w14:val="standardContextual"/>
                    </w:rPr>
                  </w:pPr>
                  <w:r>
                    <w:rPr>
                      <w:color w:val="auto"/>
                      <w14:ligatures w14:val="standardContextual"/>
                    </w:rPr>
                    <w:t>45</w:t>
                  </w:r>
                </w:p>
              </w:tc>
            </w:tr>
            <w:bookmarkEnd w:id="210"/>
          </w:tbl>
          <w:p w14:paraId="714774AA">
            <w:pPr>
              <w:pStyle w:val="49"/>
              <w:rPr>
                <w:color w:val="auto"/>
              </w:rPr>
            </w:pPr>
            <w:r>
              <w:rPr>
                <w:rFonts w:hint="eastAsia"/>
                <w:color w:val="auto"/>
              </w:rPr>
              <w:t xml:space="preserve">表4- </w:t>
            </w:r>
            <w:r>
              <w:rPr>
                <w:color w:val="auto"/>
              </w:rPr>
              <w:t>8</w:t>
            </w:r>
            <w:r>
              <w:rPr>
                <w:rFonts w:hint="eastAsia"/>
                <w:color w:val="auto"/>
              </w:rPr>
              <w:t>：排放口基本情况一览表</w:t>
            </w:r>
          </w:p>
          <w:tbl>
            <w:tblPr>
              <w:tblStyle w:val="50"/>
              <w:tblW w:w="793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387"/>
              <w:gridCol w:w="780"/>
              <w:gridCol w:w="1219"/>
              <w:gridCol w:w="1138"/>
              <w:gridCol w:w="945"/>
              <w:gridCol w:w="1662"/>
              <w:gridCol w:w="679"/>
              <w:gridCol w:w="1128"/>
            </w:tblGrid>
            <w:tr w14:paraId="71D358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44" w:type="pct"/>
                  <w:vMerge w:val="restart"/>
                  <w:tcBorders>
                    <w:top w:val="single" w:color="auto" w:sz="12" w:space="0"/>
                    <w:left w:val="nil"/>
                    <w:bottom w:val="single" w:color="auto" w:sz="12" w:space="0"/>
                    <w:right w:val="single" w:color="auto" w:sz="4" w:space="0"/>
                    <w:insideH w:val="single" w:sz="12" w:space="0"/>
                    <w:insideV w:val="single" w:sz="4" w:space="0"/>
                    <w:tl2br w:val="nil"/>
                    <w:tr2bl w:val="nil"/>
                  </w:tcBorders>
                  <w:vAlign w:val="center"/>
                </w:tcPr>
                <w:p w14:paraId="4782E84E">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sz w:val="21"/>
                      <w:szCs w:val="21"/>
                      <w14:ligatures w14:val="standardContextual"/>
                    </w:rPr>
                  </w:pPr>
                  <w:r>
                    <w:rPr>
                      <w:rFonts w:hint="eastAsia" w:ascii="Times New Roman" w:hAnsi="Times New Roman" w:eastAsia="宋体" w:cs="Times New Roman"/>
                      <w:b/>
                      <w:i w:val="0"/>
                      <w:color w:val="auto"/>
                      <w:sz w:val="21"/>
                      <w:szCs w:val="21"/>
                      <w14:ligatures w14:val="standardContextual"/>
                    </w:rPr>
                    <w:t>序号</w:t>
                  </w:r>
                </w:p>
              </w:tc>
              <w:tc>
                <w:tcPr>
                  <w:tcW w:w="491" w:type="pct"/>
                  <w:vMerge w:val="restar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0416C764">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sz w:val="21"/>
                      <w:szCs w:val="21"/>
                      <w14:ligatures w14:val="standardContextual"/>
                    </w:rPr>
                  </w:pPr>
                  <w:r>
                    <w:rPr>
                      <w:rFonts w:hint="eastAsia" w:ascii="Times New Roman" w:hAnsi="Times New Roman" w:eastAsia="宋体" w:cs="Times New Roman"/>
                      <w:b/>
                      <w:i w:val="0"/>
                      <w:color w:val="auto"/>
                      <w:sz w:val="21"/>
                      <w:szCs w:val="21"/>
                      <w14:ligatures w14:val="standardContextual"/>
                    </w:rPr>
                    <w:t>排放口编号</w:t>
                  </w:r>
                </w:p>
              </w:tc>
              <w:tc>
                <w:tcPr>
                  <w:tcW w:w="1485" w:type="pct"/>
                  <w:gridSpan w:val="2"/>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78EBECA4">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sz w:val="21"/>
                      <w:szCs w:val="21"/>
                      <w14:ligatures w14:val="standardContextual"/>
                    </w:rPr>
                  </w:pPr>
                  <w:r>
                    <w:rPr>
                      <w:rFonts w:hint="eastAsia" w:ascii="Times New Roman" w:hAnsi="Times New Roman" w:eastAsia="宋体" w:cs="Times New Roman"/>
                      <w:b/>
                      <w:i w:val="0"/>
                      <w:color w:val="auto"/>
                      <w:sz w:val="21"/>
                      <w:szCs w:val="21"/>
                      <w14:ligatures w14:val="standardContextual"/>
                    </w:rPr>
                    <w:t>排放口地理坐标</w:t>
                  </w:r>
                </w:p>
              </w:tc>
              <w:tc>
                <w:tcPr>
                  <w:tcW w:w="595" w:type="pct"/>
                  <w:vMerge w:val="restar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0DE23AF4">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sz w:val="21"/>
                      <w:szCs w:val="21"/>
                      <w14:ligatures w14:val="standardContextual"/>
                    </w:rPr>
                  </w:pPr>
                  <w:r>
                    <w:rPr>
                      <w:rFonts w:hint="eastAsia" w:ascii="Times New Roman" w:hAnsi="Times New Roman" w:eastAsia="宋体" w:cs="Times New Roman"/>
                      <w:b/>
                      <w:i w:val="0"/>
                      <w:color w:val="auto"/>
                      <w:sz w:val="21"/>
                      <w:szCs w:val="21"/>
                      <w14:ligatures w14:val="standardContextual"/>
                    </w:rPr>
                    <w:t>排放去向</w:t>
                  </w:r>
                </w:p>
              </w:tc>
              <w:tc>
                <w:tcPr>
                  <w:tcW w:w="1047" w:type="pct"/>
                  <w:vMerge w:val="restar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3AFC615B">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sz w:val="21"/>
                      <w:szCs w:val="21"/>
                      <w14:ligatures w14:val="standardContextual"/>
                    </w:rPr>
                  </w:pPr>
                  <w:r>
                    <w:rPr>
                      <w:rFonts w:hint="eastAsia" w:ascii="Times New Roman" w:hAnsi="Times New Roman" w:eastAsia="宋体" w:cs="Times New Roman"/>
                      <w:b/>
                      <w:i w:val="0"/>
                      <w:color w:val="auto"/>
                      <w:sz w:val="21"/>
                      <w:szCs w:val="21"/>
                      <w14:ligatures w14:val="standardContextual"/>
                    </w:rPr>
                    <w:t>排放规律</w:t>
                  </w:r>
                </w:p>
              </w:tc>
              <w:tc>
                <w:tcPr>
                  <w:tcW w:w="428" w:type="pct"/>
                  <w:vMerge w:val="restar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7F2FBB2B">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sz w:val="21"/>
                      <w:szCs w:val="21"/>
                      <w14:ligatures w14:val="standardContextual"/>
                    </w:rPr>
                  </w:pPr>
                  <w:r>
                    <w:rPr>
                      <w:rFonts w:hint="eastAsia" w:ascii="Times New Roman" w:hAnsi="Times New Roman" w:eastAsia="宋体" w:cs="Times New Roman"/>
                      <w:b/>
                      <w:i w:val="0"/>
                      <w:color w:val="auto"/>
                      <w:sz w:val="21"/>
                      <w:szCs w:val="21"/>
                      <w14:ligatures w14:val="standardContextual"/>
                    </w:rPr>
                    <w:t>间歇排放时段</w:t>
                  </w:r>
                </w:p>
              </w:tc>
              <w:tc>
                <w:tcPr>
                  <w:tcW w:w="710" w:type="pct"/>
                  <w:vMerge w:val="restart"/>
                  <w:tcBorders>
                    <w:top w:val="single" w:color="auto" w:sz="12" w:space="0"/>
                    <w:bottom w:val="single" w:color="auto" w:sz="12" w:space="0"/>
                    <w:right w:val="nil"/>
                    <w:insideH w:val="single" w:sz="12" w:space="0"/>
                    <w:insideV w:val="single" w:sz="4" w:space="0"/>
                    <w:tl2br w:val="nil"/>
                    <w:tr2bl w:val="nil"/>
                  </w:tcBorders>
                  <w:vAlign w:val="center"/>
                </w:tcPr>
                <w:p w14:paraId="652C5C07">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sz w:val="21"/>
                      <w:szCs w:val="21"/>
                      <w14:ligatures w14:val="standardContextual"/>
                    </w:rPr>
                  </w:pPr>
                  <w:r>
                    <w:rPr>
                      <w:rFonts w:hint="eastAsia" w:ascii="Times New Roman" w:hAnsi="Times New Roman" w:eastAsia="宋体" w:cs="Times New Roman"/>
                      <w:b/>
                      <w:i w:val="0"/>
                      <w:color w:val="auto"/>
                      <w:sz w:val="21"/>
                      <w:szCs w:val="21"/>
                      <w14:ligatures w14:val="standardContextual"/>
                    </w:rPr>
                    <w:t>排放口类型</w:t>
                  </w:r>
                </w:p>
              </w:tc>
            </w:tr>
            <w:tr w14:paraId="3B2C30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44" w:type="pct"/>
                  <w:vMerge w:val="continue"/>
                  <w:vAlign w:val="center"/>
                </w:tcPr>
                <w:p w14:paraId="53FDC069">
                  <w:pPr>
                    <w:widowControl w:val="0"/>
                    <w:overflowPunct w:val="0"/>
                    <w:autoSpaceDE w:val="0"/>
                    <w:autoSpaceDN w:val="0"/>
                    <w:snapToGrid w:val="0"/>
                    <w:jc w:val="center"/>
                    <w:rPr>
                      <w:color w:val="auto"/>
                      <w14:ligatures w14:val="standardContextual"/>
                    </w:rPr>
                  </w:pPr>
                </w:p>
              </w:tc>
              <w:tc>
                <w:tcPr>
                  <w:tcW w:w="491" w:type="pct"/>
                  <w:vMerge w:val="continue"/>
                  <w:vAlign w:val="center"/>
                </w:tcPr>
                <w:p w14:paraId="48CB54C9">
                  <w:pPr>
                    <w:widowControl w:val="0"/>
                    <w:overflowPunct w:val="0"/>
                    <w:autoSpaceDE w:val="0"/>
                    <w:autoSpaceDN w:val="0"/>
                    <w:snapToGrid w:val="0"/>
                    <w:jc w:val="center"/>
                    <w:rPr>
                      <w:color w:val="auto"/>
                      <w14:ligatures w14:val="standardContextual"/>
                    </w:rPr>
                  </w:pPr>
                </w:p>
              </w:tc>
              <w:tc>
                <w:tcPr>
                  <w:tcW w:w="768" w:type="pct"/>
                  <w:vAlign w:val="center"/>
                </w:tcPr>
                <w:p w14:paraId="3B80784A">
                  <w:pPr>
                    <w:widowControl w:val="0"/>
                    <w:overflowPunct w:val="0"/>
                    <w:autoSpaceDE w:val="0"/>
                    <w:autoSpaceDN w:val="0"/>
                    <w:snapToGrid w:val="0"/>
                    <w:jc w:val="center"/>
                    <w:rPr>
                      <w:color w:val="auto"/>
                      <w14:ligatures w14:val="standardContextual"/>
                    </w:rPr>
                  </w:pPr>
                  <w:r>
                    <w:rPr>
                      <w:rFonts w:hint="eastAsia"/>
                      <w:color w:val="auto"/>
                      <w14:ligatures w14:val="standardContextual"/>
                    </w:rPr>
                    <w:t>经度</w:t>
                  </w:r>
                </w:p>
              </w:tc>
              <w:tc>
                <w:tcPr>
                  <w:tcW w:w="717" w:type="pct"/>
                  <w:vAlign w:val="center"/>
                </w:tcPr>
                <w:p w14:paraId="4A937D7B">
                  <w:pPr>
                    <w:widowControl w:val="0"/>
                    <w:overflowPunct w:val="0"/>
                    <w:autoSpaceDE w:val="0"/>
                    <w:autoSpaceDN w:val="0"/>
                    <w:snapToGrid w:val="0"/>
                    <w:jc w:val="center"/>
                    <w:rPr>
                      <w:color w:val="auto"/>
                      <w14:ligatures w14:val="standardContextual"/>
                    </w:rPr>
                  </w:pPr>
                  <w:r>
                    <w:rPr>
                      <w:rFonts w:hint="eastAsia"/>
                      <w:color w:val="auto"/>
                      <w14:ligatures w14:val="standardContextual"/>
                    </w:rPr>
                    <w:t>纬度</w:t>
                  </w:r>
                </w:p>
              </w:tc>
              <w:tc>
                <w:tcPr>
                  <w:tcW w:w="595" w:type="pct"/>
                  <w:vMerge w:val="continue"/>
                  <w:vAlign w:val="center"/>
                </w:tcPr>
                <w:p w14:paraId="1741C648">
                  <w:pPr>
                    <w:widowControl w:val="0"/>
                    <w:overflowPunct w:val="0"/>
                    <w:autoSpaceDE w:val="0"/>
                    <w:autoSpaceDN w:val="0"/>
                    <w:snapToGrid w:val="0"/>
                    <w:jc w:val="center"/>
                    <w:rPr>
                      <w:color w:val="auto"/>
                      <w14:ligatures w14:val="standardContextual"/>
                    </w:rPr>
                  </w:pPr>
                </w:p>
              </w:tc>
              <w:tc>
                <w:tcPr>
                  <w:tcW w:w="1047" w:type="pct"/>
                  <w:vMerge w:val="continue"/>
                  <w:vAlign w:val="center"/>
                </w:tcPr>
                <w:p w14:paraId="51606F87">
                  <w:pPr>
                    <w:widowControl w:val="0"/>
                    <w:overflowPunct w:val="0"/>
                    <w:autoSpaceDE w:val="0"/>
                    <w:autoSpaceDN w:val="0"/>
                    <w:snapToGrid w:val="0"/>
                    <w:jc w:val="center"/>
                    <w:rPr>
                      <w:color w:val="auto"/>
                      <w14:ligatures w14:val="standardContextual"/>
                    </w:rPr>
                  </w:pPr>
                </w:p>
              </w:tc>
              <w:tc>
                <w:tcPr>
                  <w:tcW w:w="428" w:type="pct"/>
                  <w:vMerge w:val="continue"/>
                  <w:vAlign w:val="center"/>
                </w:tcPr>
                <w:p w14:paraId="7BA370CC">
                  <w:pPr>
                    <w:widowControl w:val="0"/>
                    <w:overflowPunct w:val="0"/>
                    <w:autoSpaceDE w:val="0"/>
                    <w:autoSpaceDN w:val="0"/>
                    <w:snapToGrid w:val="0"/>
                    <w:jc w:val="center"/>
                    <w:rPr>
                      <w:color w:val="auto"/>
                      <w14:ligatures w14:val="standardContextual"/>
                    </w:rPr>
                  </w:pPr>
                </w:p>
              </w:tc>
              <w:tc>
                <w:tcPr>
                  <w:tcW w:w="710" w:type="pct"/>
                  <w:vMerge w:val="continue"/>
                  <w:vAlign w:val="center"/>
                </w:tcPr>
                <w:p w14:paraId="482B2B62">
                  <w:pPr>
                    <w:widowControl w:val="0"/>
                    <w:overflowPunct w:val="0"/>
                    <w:autoSpaceDE w:val="0"/>
                    <w:autoSpaceDN w:val="0"/>
                    <w:snapToGrid w:val="0"/>
                    <w:jc w:val="center"/>
                    <w:rPr>
                      <w:color w:val="auto"/>
                      <w14:ligatures w14:val="standardContextual"/>
                    </w:rPr>
                  </w:pPr>
                </w:p>
              </w:tc>
            </w:tr>
            <w:tr w14:paraId="75BC33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44" w:type="pct"/>
                  <w:vAlign w:val="center"/>
                </w:tcPr>
                <w:p w14:paraId="2948FB04">
                  <w:pPr>
                    <w:widowControl w:val="0"/>
                    <w:overflowPunct w:val="0"/>
                    <w:autoSpaceDE w:val="0"/>
                    <w:autoSpaceDN w:val="0"/>
                    <w:snapToGrid w:val="0"/>
                    <w:jc w:val="center"/>
                    <w:rPr>
                      <w:color w:val="auto"/>
                      <w14:ligatures w14:val="standardContextual"/>
                    </w:rPr>
                  </w:pPr>
                  <w:r>
                    <w:rPr>
                      <w:rFonts w:hint="eastAsia"/>
                      <w:color w:val="auto"/>
                      <w14:ligatures w14:val="standardContextual"/>
                    </w:rPr>
                    <w:t>1</w:t>
                  </w:r>
                </w:p>
              </w:tc>
              <w:tc>
                <w:tcPr>
                  <w:tcW w:w="491" w:type="pct"/>
                  <w:vAlign w:val="center"/>
                </w:tcPr>
                <w:p w14:paraId="6FD29301">
                  <w:pPr>
                    <w:widowControl w:val="0"/>
                    <w:overflowPunct w:val="0"/>
                    <w:autoSpaceDE w:val="0"/>
                    <w:autoSpaceDN w:val="0"/>
                    <w:snapToGrid w:val="0"/>
                    <w:jc w:val="center"/>
                    <w:rPr>
                      <w:color w:val="auto"/>
                      <w14:ligatures w14:val="standardContextual"/>
                    </w:rPr>
                  </w:pPr>
                  <w:r>
                    <w:rPr>
                      <w:rFonts w:hint="eastAsia"/>
                      <w:color w:val="auto"/>
                      <w14:ligatures w14:val="standardContextual"/>
                    </w:rPr>
                    <w:t>D</w:t>
                  </w:r>
                  <w:r>
                    <w:rPr>
                      <w:color w:val="auto"/>
                      <w14:ligatures w14:val="standardContextual"/>
                    </w:rPr>
                    <w:t>W001</w:t>
                  </w:r>
                </w:p>
              </w:tc>
              <w:tc>
                <w:tcPr>
                  <w:tcW w:w="768" w:type="pct"/>
                  <w:vAlign w:val="center"/>
                </w:tcPr>
                <w:p w14:paraId="7C5E834C">
                  <w:pPr>
                    <w:widowControl w:val="0"/>
                    <w:wordWrap w:val="0"/>
                    <w:overflowPunct w:val="0"/>
                    <w:autoSpaceDE w:val="0"/>
                    <w:autoSpaceDN w:val="0"/>
                    <w:snapToGrid w:val="0"/>
                    <w:jc w:val="center"/>
                    <w:rPr>
                      <w:color w:val="auto"/>
                      <w14:ligatures w14:val="standardContextual"/>
                    </w:rPr>
                  </w:pPr>
                  <w:r>
                    <w:rPr>
                      <w:color w:val="auto"/>
                      <w14:ligatures w14:val="standardContextual"/>
                    </w:rPr>
                    <w:t>E108°41′35.241″</w:t>
                  </w:r>
                </w:p>
              </w:tc>
              <w:tc>
                <w:tcPr>
                  <w:tcW w:w="717" w:type="pct"/>
                  <w:vAlign w:val="center"/>
                </w:tcPr>
                <w:p w14:paraId="50DFF737">
                  <w:pPr>
                    <w:widowControl w:val="0"/>
                    <w:wordWrap w:val="0"/>
                    <w:overflowPunct w:val="0"/>
                    <w:autoSpaceDE w:val="0"/>
                    <w:autoSpaceDN w:val="0"/>
                    <w:snapToGrid w:val="0"/>
                    <w:jc w:val="center"/>
                    <w:rPr>
                      <w:color w:val="auto"/>
                      <w14:ligatures w14:val="standardContextual"/>
                    </w:rPr>
                  </w:pPr>
                  <w:r>
                    <w:rPr>
                      <w:color w:val="auto"/>
                      <w14:ligatures w14:val="standardContextual"/>
                    </w:rPr>
                    <w:t>N21°47′45.259″</w:t>
                  </w:r>
                </w:p>
              </w:tc>
              <w:tc>
                <w:tcPr>
                  <w:tcW w:w="595" w:type="pct"/>
                  <w:vAlign w:val="center"/>
                </w:tcPr>
                <w:p w14:paraId="3B1BD584">
                  <w:pPr>
                    <w:widowControl w:val="0"/>
                    <w:overflowPunct w:val="0"/>
                    <w:autoSpaceDE w:val="0"/>
                    <w:autoSpaceDN w:val="0"/>
                    <w:snapToGrid w:val="0"/>
                    <w:jc w:val="center"/>
                    <w:rPr>
                      <w:color w:val="auto"/>
                      <w14:ligatures w14:val="standardContextual"/>
                    </w:rPr>
                  </w:pPr>
                  <w:r>
                    <w:rPr>
                      <w:rFonts w:hint="eastAsia"/>
                      <w:color w:val="auto"/>
                      <w14:ligatures w14:val="standardContextual"/>
                    </w:rPr>
                    <w:t>大榄坪污水处理厂</w:t>
                  </w:r>
                </w:p>
              </w:tc>
              <w:tc>
                <w:tcPr>
                  <w:tcW w:w="1047" w:type="pct"/>
                  <w:vAlign w:val="center"/>
                </w:tcPr>
                <w:p w14:paraId="35DB0F4E">
                  <w:pPr>
                    <w:widowControl w:val="0"/>
                    <w:overflowPunct w:val="0"/>
                    <w:autoSpaceDE w:val="0"/>
                    <w:autoSpaceDN w:val="0"/>
                    <w:snapToGrid w:val="0"/>
                    <w:jc w:val="center"/>
                    <w:rPr>
                      <w:color w:val="auto"/>
                      <w14:ligatures w14:val="standardContextual"/>
                    </w:rPr>
                  </w:pPr>
                  <w:r>
                    <w:rPr>
                      <w:rFonts w:hint="eastAsia"/>
                      <w:color w:val="auto"/>
                      <w14:ligatures w14:val="standardContextual"/>
                    </w:rPr>
                    <w:t>连续排放，流量不稳定，但有周期性规律</w:t>
                  </w:r>
                </w:p>
              </w:tc>
              <w:tc>
                <w:tcPr>
                  <w:tcW w:w="428" w:type="pct"/>
                  <w:vAlign w:val="center"/>
                </w:tcPr>
                <w:p w14:paraId="2FE701D2">
                  <w:pPr>
                    <w:widowControl w:val="0"/>
                    <w:overflowPunct w:val="0"/>
                    <w:autoSpaceDE w:val="0"/>
                    <w:autoSpaceDN w:val="0"/>
                    <w:snapToGrid w:val="0"/>
                    <w:jc w:val="center"/>
                    <w:rPr>
                      <w:color w:val="auto"/>
                      <w14:ligatures w14:val="standardContextual"/>
                    </w:rPr>
                  </w:pPr>
                  <w:r>
                    <w:rPr>
                      <w:color w:val="auto"/>
                      <w14:ligatures w14:val="standardContextual"/>
                    </w:rPr>
                    <w:t>/</w:t>
                  </w:r>
                </w:p>
              </w:tc>
              <w:tc>
                <w:tcPr>
                  <w:tcW w:w="710" w:type="pct"/>
                  <w:vAlign w:val="center"/>
                </w:tcPr>
                <w:p w14:paraId="4C3DB100">
                  <w:pPr>
                    <w:widowControl w:val="0"/>
                    <w:overflowPunct w:val="0"/>
                    <w:autoSpaceDE w:val="0"/>
                    <w:autoSpaceDN w:val="0"/>
                    <w:snapToGrid w:val="0"/>
                    <w:jc w:val="center"/>
                    <w:rPr>
                      <w:color w:val="auto"/>
                      <w14:ligatures w14:val="standardContextual"/>
                    </w:rPr>
                  </w:pPr>
                  <w:r>
                    <w:rPr>
                      <w:rFonts w:hint="eastAsia"/>
                      <w:color w:val="auto"/>
                      <w14:ligatures w14:val="standardContextual"/>
                    </w:rPr>
                    <w:t>综合污水排放口/一般排放口</w:t>
                  </w:r>
                </w:p>
              </w:tc>
            </w:tr>
          </w:tbl>
          <w:p w14:paraId="2EF48BA2">
            <w:pPr>
              <w:pStyle w:val="3"/>
              <w:ind w:firstLine="482"/>
              <w:rPr>
                <w:b/>
                <w:bCs/>
                <w:color w:val="auto"/>
              </w:rPr>
            </w:pPr>
            <w:bookmarkStart w:id="213" w:name="废水治理设施可行性分析"/>
            <w:r>
              <w:rPr>
                <w:rFonts w:hint="eastAsia"/>
                <w:b/>
                <w:bCs/>
                <w:color w:val="auto"/>
              </w:rPr>
              <w:t>2、污染源强核算过程</w:t>
            </w:r>
          </w:p>
          <w:p w14:paraId="14806374">
            <w:pPr>
              <w:pStyle w:val="3"/>
              <w:ind w:firstLine="482"/>
              <w:rPr>
                <w:b/>
                <w:bCs/>
                <w:color w:val="auto"/>
              </w:rPr>
            </w:pPr>
            <w:r>
              <w:rPr>
                <w:rFonts w:hint="eastAsia"/>
                <w:b/>
                <w:bCs/>
                <w:color w:val="auto"/>
              </w:rPr>
              <w:t>1）生产废水</w:t>
            </w:r>
          </w:p>
          <w:p w14:paraId="0D4832CE">
            <w:pPr>
              <w:pStyle w:val="3"/>
              <w:ind w:firstLine="480"/>
              <w:rPr>
                <w:color w:val="auto"/>
              </w:rPr>
            </w:pPr>
            <w:r>
              <w:rPr>
                <w:rFonts w:hint="eastAsia"/>
                <w:color w:val="auto"/>
              </w:rPr>
              <w:t>本项目生产废水包括W1软水制备废水产生量为42244.00 m</w:t>
            </w:r>
            <w:r>
              <w:rPr>
                <w:rFonts w:hint="eastAsia"/>
                <w:color w:val="auto"/>
                <w:vertAlign w:val="superscript"/>
              </w:rPr>
              <w:t>3</w:t>
            </w:r>
            <w:r>
              <w:rPr>
                <w:rFonts w:hint="eastAsia"/>
                <w:color w:val="auto"/>
              </w:rPr>
              <w:t>/a，W2</w:t>
            </w:r>
            <w:bookmarkStart w:id="214" w:name="OLE_LINK9"/>
            <w:r>
              <w:rPr>
                <w:rFonts w:hint="eastAsia"/>
                <w:color w:val="auto"/>
              </w:rPr>
              <w:t>锅炉排污水</w:t>
            </w:r>
            <w:bookmarkEnd w:id="214"/>
            <w:r>
              <w:rPr>
                <w:rFonts w:hint="eastAsia"/>
                <w:color w:val="auto"/>
              </w:rPr>
              <w:t>量12.00 m</w:t>
            </w:r>
            <w:r>
              <w:rPr>
                <w:rFonts w:hint="eastAsia"/>
                <w:color w:val="auto"/>
                <w:vertAlign w:val="superscript"/>
              </w:rPr>
              <w:t>3</w:t>
            </w:r>
            <w:r>
              <w:rPr>
                <w:rFonts w:hint="eastAsia"/>
                <w:color w:val="auto"/>
              </w:rPr>
              <w:t xml:space="preserve">/a，生产废水合计总量为42256.00 </w:t>
            </w:r>
            <w:bookmarkStart w:id="215" w:name="OLE_LINK26"/>
            <w:r>
              <w:rPr>
                <w:rFonts w:hint="eastAsia"/>
                <w:color w:val="auto"/>
              </w:rPr>
              <w:t>m</w:t>
            </w:r>
            <w:r>
              <w:rPr>
                <w:rFonts w:hint="eastAsia"/>
                <w:color w:val="auto"/>
                <w:vertAlign w:val="superscript"/>
              </w:rPr>
              <w:t>3</w:t>
            </w:r>
            <w:r>
              <w:rPr>
                <w:rFonts w:hint="eastAsia"/>
                <w:color w:val="auto"/>
              </w:rPr>
              <w:t>/a</w:t>
            </w:r>
            <w:bookmarkEnd w:id="215"/>
            <w:r>
              <w:rPr>
                <w:rFonts w:hint="eastAsia"/>
                <w:color w:val="auto"/>
              </w:rPr>
              <w:t>（128.1 m</w:t>
            </w:r>
            <w:r>
              <w:rPr>
                <w:rFonts w:hint="eastAsia"/>
                <w:color w:val="auto"/>
                <w:vertAlign w:val="superscript"/>
              </w:rPr>
              <w:t>3</w:t>
            </w:r>
            <w:r>
              <w:rPr>
                <w:rFonts w:hint="eastAsia"/>
                <w:color w:val="auto"/>
              </w:rPr>
              <w:t>/d）。软水制备废水和锅炉排污水属于清洁下水，根据行业经验数据，</w:t>
            </w:r>
            <w:r>
              <w:rPr>
                <w:color w:val="auto"/>
              </w:rPr>
              <w:t>COD</w:t>
            </w:r>
            <w:r>
              <w:rPr>
                <w:rFonts w:hint="eastAsia"/>
                <w:color w:val="auto"/>
              </w:rPr>
              <w:t>、氨氮、</w:t>
            </w:r>
            <w:r>
              <w:rPr>
                <w:color w:val="auto"/>
              </w:rPr>
              <w:t>SS</w:t>
            </w:r>
            <w:r>
              <w:rPr>
                <w:rFonts w:hint="eastAsia"/>
                <w:color w:val="auto"/>
              </w:rPr>
              <w:t>分别为</w:t>
            </w:r>
            <w:r>
              <w:rPr>
                <w:color w:val="auto"/>
              </w:rPr>
              <w:t>200</w:t>
            </w:r>
            <w:r>
              <w:rPr>
                <w:rFonts w:hint="eastAsia"/>
                <w:color w:val="auto"/>
              </w:rPr>
              <w:t>mg/L、20</w:t>
            </w:r>
            <w:bookmarkStart w:id="216" w:name="OLE_LINK14"/>
            <w:r>
              <w:rPr>
                <w:rFonts w:hint="eastAsia"/>
                <w:color w:val="auto"/>
              </w:rPr>
              <w:t>mg/L</w:t>
            </w:r>
            <w:bookmarkEnd w:id="216"/>
            <w:r>
              <w:rPr>
                <w:rFonts w:hint="eastAsia"/>
                <w:color w:val="auto"/>
              </w:rPr>
              <w:t>、</w:t>
            </w:r>
            <w:r>
              <w:rPr>
                <w:color w:val="auto"/>
              </w:rPr>
              <w:t>300</w:t>
            </w:r>
            <w:r>
              <w:rPr>
                <w:rFonts w:hint="eastAsia"/>
                <w:color w:val="auto"/>
              </w:rPr>
              <w:t>mg/L，可直接经园区污水管网进入大榄坪污水处理厂处理。</w:t>
            </w:r>
          </w:p>
          <w:p w14:paraId="4DC1B17A">
            <w:pPr>
              <w:pStyle w:val="3"/>
              <w:ind w:firstLine="482"/>
              <w:rPr>
                <w:b/>
                <w:bCs/>
                <w:color w:val="auto"/>
              </w:rPr>
            </w:pPr>
            <w:r>
              <w:rPr>
                <w:rFonts w:hint="eastAsia"/>
                <w:b/>
                <w:bCs/>
                <w:color w:val="auto"/>
              </w:rPr>
              <w:t>2）生活污水</w:t>
            </w:r>
          </w:p>
          <w:p w14:paraId="285B01DB">
            <w:pPr>
              <w:pStyle w:val="3"/>
              <w:ind w:firstLine="480"/>
              <w:rPr>
                <w:color w:val="auto"/>
              </w:rPr>
            </w:pPr>
            <w:r>
              <w:rPr>
                <w:rFonts w:hint="eastAsia"/>
                <w:color w:val="auto"/>
              </w:rPr>
              <w:t>项目生活污水量为264 m</w:t>
            </w:r>
            <w:r>
              <w:rPr>
                <w:rFonts w:hint="eastAsia"/>
                <w:color w:val="auto"/>
                <w:vertAlign w:val="superscript"/>
              </w:rPr>
              <w:t>3</w:t>
            </w:r>
            <w:r>
              <w:rPr>
                <w:rFonts w:hint="eastAsia"/>
                <w:color w:val="auto"/>
              </w:rPr>
              <w:t>/a（0.80 m</w:t>
            </w:r>
            <w:r>
              <w:rPr>
                <w:rFonts w:hint="eastAsia"/>
                <w:color w:val="auto"/>
                <w:vertAlign w:val="superscript"/>
              </w:rPr>
              <w:t>3</w:t>
            </w:r>
            <w:r>
              <w:rPr>
                <w:rFonts w:hint="eastAsia"/>
                <w:color w:val="auto"/>
              </w:rPr>
              <w:t>/d）。生活污水中各污染物浓度参考《城市污水处理技术及工程实例》（化学工业出版社）典型生活污水水质指标，其主要污染物</w:t>
            </w:r>
            <w:bookmarkStart w:id="217" w:name="OLE_LINK65"/>
            <w:r>
              <w:rPr>
                <w:rFonts w:hint="eastAsia"/>
                <w:color w:val="auto"/>
              </w:rPr>
              <w:t>COD、BOD</w:t>
            </w:r>
            <w:r>
              <w:rPr>
                <w:rFonts w:hint="eastAsia"/>
                <w:color w:val="auto"/>
                <w:vertAlign w:val="subscript"/>
              </w:rPr>
              <w:t>5</w:t>
            </w:r>
            <w:r>
              <w:rPr>
                <w:rFonts w:hint="eastAsia"/>
                <w:color w:val="auto"/>
              </w:rPr>
              <w:t>、SS、氨氮、TP、TN</w:t>
            </w:r>
            <w:bookmarkEnd w:id="217"/>
            <w:r>
              <w:rPr>
                <w:rFonts w:hint="eastAsia"/>
                <w:color w:val="auto"/>
              </w:rPr>
              <w:t>，浓度依次为250mg/L、100mg/L、150mg/L、12mg/L、1mg/L、20mg/L。</w:t>
            </w:r>
          </w:p>
          <w:p w14:paraId="4662FD3C">
            <w:pPr>
              <w:pStyle w:val="3"/>
              <w:ind w:firstLine="480"/>
              <w:rPr>
                <w:color w:val="auto"/>
              </w:rPr>
            </w:pPr>
            <w:r>
              <w:rPr>
                <w:rFonts w:hint="eastAsia"/>
                <w:color w:val="auto"/>
              </w:rPr>
              <w:t>参考《我国农村化粪池污染物去除效果及影响因素分析》（环境工程学报，2021年2月第15卷第2期）、《化粪池在实际生活中的比选和应用》（环境与发展，陈杰、姜红）、《化粪池与人工湿地联用处理湖南农村地区生活污水研究》（湖南大学，蒙语）等文献，化粪池对COD去除效率为21%~65%、BOD</w:t>
            </w:r>
            <w:r>
              <w:rPr>
                <w:rFonts w:hint="eastAsia"/>
                <w:color w:val="auto"/>
                <w:vertAlign w:val="subscript"/>
              </w:rPr>
              <w:t>5</w:t>
            </w:r>
            <w:r>
              <w:rPr>
                <w:rFonts w:hint="eastAsia"/>
                <w:color w:val="auto"/>
              </w:rPr>
              <w:t>去除效率29%~72%、SS去除效率50%~60%、氨氨去除效率25%~30%（总氮去除效率参考氨氮）；参考《第一次全国污染源普查城镇生活源产排污系数手册》中的化粪池产排污系数计算处理效率，化粪池对总磷去除效率为15%。因此，本项目化粪池对COD、BOD</w:t>
            </w:r>
            <w:r>
              <w:rPr>
                <w:rFonts w:hint="eastAsia"/>
                <w:color w:val="auto"/>
                <w:vertAlign w:val="subscript"/>
              </w:rPr>
              <w:t>5</w:t>
            </w:r>
            <w:r>
              <w:rPr>
                <w:rFonts w:hint="eastAsia"/>
                <w:color w:val="auto"/>
              </w:rPr>
              <w:t>、SS、氨氮、总磷、总氮的去除效率分别取43%、50%、55%、27.5%、15%、27.5%。</w:t>
            </w:r>
          </w:p>
          <w:p w14:paraId="52077363">
            <w:pPr>
              <w:pStyle w:val="3"/>
              <w:ind w:firstLine="480"/>
              <w:rPr>
                <w:b/>
                <w:bCs/>
                <w:color w:val="auto"/>
              </w:rPr>
            </w:pPr>
            <w:r>
              <w:rPr>
                <w:rFonts w:hint="eastAsia"/>
                <w:color w:val="auto"/>
              </w:rPr>
              <w:t>项目生活污水经化粪池处理后，经园区污水管网进入大榄坪污水处理厂处理。</w:t>
            </w:r>
          </w:p>
          <w:p w14:paraId="108E5530">
            <w:pPr>
              <w:pStyle w:val="3"/>
              <w:ind w:firstLine="482"/>
              <w:rPr>
                <w:b/>
                <w:bCs/>
                <w:color w:val="auto"/>
              </w:rPr>
            </w:pPr>
            <w:r>
              <w:rPr>
                <w:rFonts w:hint="eastAsia"/>
                <w:b/>
                <w:bCs/>
                <w:color w:val="auto"/>
              </w:rPr>
              <w:t>3、废水治理设施可行性分析</w:t>
            </w:r>
            <w:bookmarkEnd w:id="213"/>
          </w:p>
          <w:p w14:paraId="75573DE5">
            <w:pPr>
              <w:pStyle w:val="3"/>
              <w:ind w:firstLine="480"/>
              <w:rPr>
                <w:color w:val="auto"/>
              </w:rPr>
            </w:pPr>
            <w:r>
              <w:rPr>
                <w:rFonts w:hint="eastAsia"/>
                <w:color w:val="auto"/>
              </w:rPr>
              <w:t>本项目产生运营期主要的废水污染为锅炉废水、蒸汽锅炉配套软水制备过程中产生的浓水，均属于清洁下水，未添加药剂，可直接排入污水管网。</w:t>
            </w:r>
          </w:p>
          <w:p w14:paraId="3E1A772D">
            <w:pPr>
              <w:pStyle w:val="3"/>
              <w:ind w:firstLine="480"/>
              <w:rPr>
                <w:color w:val="auto"/>
              </w:rPr>
            </w:pPr>
            <w:r>
              <w:rPr>
                <w:rFonts w:hint="eastAsia"/>
                <w:color w:val="auto"/>
              </w:rPr>
              <w:t>化粪池是一种利用沉淀和厌氧发酵的原理，去除生活污水中悬浮性有机物的处理设施，属于初级的过渡性生活处理构筑物，可有效处理粪便等，属于治理生活污水的可行性技术。</w:t>
            </w:r>
          </w:p>
          <w:p w14:paraId="0E49432C">
            <w:pPr>
              <w:pStyle w:val="3"/>
              <w:ind w:firstLine="480"/>
              <w:rPr>
                <w:color w:val="auto"/>
              </w:rPr>
            </w:pPr>
            <w:r>
              <w:rPr>
                <w:rFonts w:hint="eastAsia"/>
                <w:color w:val="auto"/>
              </w:rPr>
              <w:t>综上所述，故本项目废水治理措施可行。</w:t>
            </w:r>
          </w:p>
          <w:p w14:paraId="6904604E">
            <w:pPr>
              <w:pStyle w:val="3"/>
              <w:ind w:firstLine="482"/>
              <w:rPr>
                <w:b/>
                <w:bCs/>
                <w:color w:val="auto"/>
              </w:rPr>
            </w:pPr>
            <w:r>
              <w:rPr>
                <w:rFonts w:hint="eastAsia"/>
                <w:b/>
                <w:bCs/>
                <w:color w:val="auto"/>
              </w:rPr>
              <w:t>4、依托园区污水处理厂可行性分析</w:t>
            </w:r>
          </w:p>
          <w:p w14:paraId="44482B47">
            <w:pPr>
              <w:pStyle w:val="3"/>
              <w:ind w:firstLine="480"/>
              <w:rPr>
                <w:color w:val="auto"/>
              </w:rPr>
            </w:pPr>
            <w:r>
              <w:rPr>
                <w:rFonts w:hint="eastAsia"/>
                <w:color w:val="auto"/>
              </w:rPr>
              <w:t>大榄坪污水处理厂位于钦州港大榄坪综合物流加工区内（四号路与第八大街交汇处），服务范围110km</w:t>
            </w:r>
            <w:r>
              <w:rPr>
                <w:rFonts w:hint="eastAsia"/>
                <w:color w:val="auto"/>
                <w:vertAlign w:val="superscript"/>
              </w:rPr>
              <w:t>2</w:t>
            </w:r>
            <w:r>
              <w:rPr>
                <w:rFonts w:hint="eastAsia"/>
                <w:color w:val="auto"/>
              </w:rPr>
              <w:t>，包括钦州保税港区、钦州港行政商务中心、大榄坪综合物流加工区、</w:t>
            </w:r>
            <w:bookmarkStart w:id="218" w:name="OLE_LINK248"/>
            <w:r>
              <w:rPr>
                <w:rFonts w:hint="eastAsia"/>
                <w:color w:val="auto"/>
              </w:rPr>
              <w:t>中马钦州产业园区</w:t>
            </w:r>
            <w:bookmarkEnd w:id="218"/>
            <w:r>
              <w:rPr>
                <w:rFonts w:hint="eastAsia"/>
                <w:color w:val="auto"/>
              </w:rPr>
              <w:t>、钦南进出口加工区等，近远期设计处理规模分别为5万m</w:t>
            </w:r>
            <w:r>
              <w:rPr>
                <w:rFonts w:hint="eastAsia"/>
                <w:color w:val="auto"/>
                <w:vertAlign w:val="superscript"/>
              </w:rPr>
              <w:t>3</w:t>
            </w:r>
            <w:r>
              <w:rPr>
                <w:rFonts w:hint="eastAsia"/>
                <w:color w:val="auto"/>
              </w:rPr>
              <w:t>/d、远期为20万m</w:t>
            </w:r>
            <w:r>
              <w:rPr>
                <w:rFonts w:hint="eastAsia"/>
                <w:color w:val="auto"/>
                <w:vertAlign w:val="superscript"/>
              </w:rPr>
              <w:t>3</w:t>
            </w:r>
            <w:r>
              <w:rPr>
                <w:rFonts w:hint="eastAsia"/>
                <w:color w:val="auto"/>
              </w:rPr>
              <w:t>/d，现处理量在2万m</w:t>
            </w:r>
            <w:r>
              <w:rPr>
                <w:rFonts w:hint="eastAsia"/>
                <w:color w:val="auto"/>
                <w:vertAlign w:val="superscript"/>
              </w:rPr>
              <w:t>3</w:t>
            </w:r>
            <w:r>
              <w:rPr>
                <w:rFonts w:hint="eastAsia"/>
                <w:color w:val="auto"/>
              </w:rPr>
              <w:t>/d以内，采用“A</w:t>
            </w:r>
            <w:r>
              <w:rPr>
                <w:rFonts w:hint="eastAsia"/>
                <w:color w:val="auto"/>
                <w:vertAlign w:val="superscript"/>
              </w:rPr>
              <w:t>2</w:t>
            </w:r>
            <w:r>
              <w:rPr>
                <w:rFonts w:hint="eastAsia"/>
                <w:color w:val="auto"/>
              </w:rPr>
              <w:t>/O微曝氧化沟+化学辅助除磷”处理工艺，出水排放标准执行《城镇污水处理厂污染物排放标准》（GB18918-2002）一级A标准，尾水排入钦州海域。根据企业自行监测信息公示结果、竣工环保验收，尾水能达标排放。</w:t>
            </w:r>
          </w:p>
          <w:p w14:paraId="5DA20F29">
            <w:pPr>
              <w:pStyle w:val="3"/>
              <w:ind w:firstLine="480"/>
              <w:rPr>
                <w:color w:val="auto"/>
              </w:rPr>
            </w:pPr>
            <w:r>
              <w:rPr>
                <w:rFonts w:hint="eastAsia"/>
                <w:color w:val="auto"/>
              </w:rPr>
              <w:t>本项目位于中马钦州产业园区内，属于大榄坪污水处理厂服务范围，待园区污水管网建成后可通过市政污水管网流入大榄坪污水处理厂，具备接入条件。项目废水排放量约为42520.00m</w:t>
            </w:r>
            <w:r>
              <w:rPr>
                <w:rFonts w:hint="eastAsia"/>
                <w:color w:val="auto"/>
                <w:vertAlign w:val="superscript"/>
              </w:rPr>
              <w:t>3</w:t>
            </w:r>
            <w:r>
              <w:rPr>
                <w:rFonts w:hint="eastAsia"/>
                <w:color w:val="auto"/>
              </w:rPr>
              <w:t>/a，折合128.8m</w:t>
            </w:r>
            <w:r>
              <w:rPr>
                <w:rFonts w:hint="eastAsia"/>
                <w:color w:val="auto"/>
                <w:vertAlign w:val="superscript"/>
              </w:rPr>
              <w:t>3</w:t>
            </w:r>
            <w:r>
              <w:rPr>
                <w:rFonts w:hint="eastAsia"/>
                <w:color w:val="auto"/>
              </w:rPr>
              <w:t>/d，占大榄坪污水处理厂剩余处理能力的0.26%，基本不会对大榄坪污水处理厂处理负荷产生冲击。项目外排废水属于清洁下水，水质能满足大榄坪污水处理厂纳管标准要求，对大榄坪污水处理厂尾水达标排放影响小。可见，项目废水依托大榄坪污水处理厂处理可行。项目不直接排放废水，对地表水环境无明显影响。</w:t>
            </w:r>
          </w:p>
          <w:p w14:paraId="630027FB">
            <w:pPr>
              <w:pStyle w:val="3"/>
              <w:ind w:firstLine="482"/>
              <w:rPr>
                <w:b/>
                <w:bCs/>
                <w:color w:val="auto"/>
              </w:rPr>
            </w:pPr>
            <w:r>
              <w:rPr>
                <w:rFonts w:hint="eastAsia"/>
                <w:b/>
                <w:bCs/>
                <w:color w:val="auto"/>
              </w:rPr>
              <w:t>5、自行监测要求</w:t>
            </w:r>
          </w:p>
          <w:p w14:paraId="75B52F61">
            <w:pPr>
              <w:pStyle w:val="3"/>
              <w:ind w:firstLine="480"/>
              <w:rPr>
                <w:color w:val="auto"/>
              </w:rPr>
            </w:pPr>
            <w:r>
              <w:rPr>
                <w:rFonts w:hint="eastAsia"/>
                <w:color w:val="auto"/>
              </w:rPr>
              <w:t>根据《排污许可证申请与核发技术规范 锅炉》(HJ 953-2018)、《排污单位自行监测技术指南 火力发电及锅炉》(HJ820-2017)等要求，制定以下监测计划。</w:t>
            </w:r>
          </w:p>
          <w:p w14:paraId="42E783DD">
            <w:pPr>
              <w:pStyle w:val="49"/>
              <w:rPr>
                <w:color w:val="auto"/>
              </w:rPr>
            </w:pPr>
            <w:bookmarkStart w:id="219" w:name="_Ref176954282"/>
            <w:r>
              <w:rPr>
                <w:rFonts w:hint="eastAsia"/>
                <w:color w:val="auto"/>
              </w:rPr>
              <w:t xml:space="preserve">表4- </w:t>
            </w:r>
            <w:r>
              <w:rPr>
                <w:color w:val="auto"/>
              </w:rPr>
              <w:t>9</w:t>
            </w:r>
            <w:r>
              <w:rPr>
                <w:rFonts w:hint="eastAsia"/>
                <w:color w:val="auto"/>
              </w:rPr>
              <w:t>：废水监测计划</w:t>
            </w:r>
            <w:bookmarkEnd w:id="219"/>
          </w:p>
          <w:tbl>
            <w:tblPr>
              <w:tblStyle w:val="5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1628"/>
              <w:gridCol w:w="4821"/>
              <w:gridCol w:w="1501"/>
            </w:tblGrid>
            <w:tr w14:paraId="3A5899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024" w:type="pct"/>
                  <w:tcBorders>
                    <w:top w:val="single" w:color="auto" w:sz="12" w:space="0"/>
                    <w:left w:val="nil"/>
                    <w:bottom w:val="single" w:color="auto" w:sz="12" w:space="0"/>
                    <w:right w:val="single" w:color="auto" w:sz="4" w:space="0"/>
                    <w:insideH w:val="single" w:sz="12" w:space="0"/>
                    <w:insideV w:val="single" w:sz="4" w:space="0"/>
                    <w:tl2br w:val="nil"/>
                    <w:tr2bl w:val="nil"/>
                  </w:tcBorders>
                  <w:vAlign w:val="center"/>
                </w:tcPr>
                <w:p w14:paraId="629F2948">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sz w:val="21"/>
                      <w:szCs w:val="21"/>
                      <w14:ligatures w14:val="standardContextual"/>
                    </w:rPr>
                  </w:pPr>
                  <w:r>
                    <w:rPr>
                      <w:rFonts w:hint="default" w:ascii="Times New Roman" w:hAnsi="Times New Roman" w:eastAsia="宋体" w:cs="Times New Roman"/>
                      <w:b/>
                      <w:i w:val="0"/>
                      <w:color w:val="auto"/>
                      <w:sz w:val="21"/>
                      <w:szCs w:val="21"/>
                      <w14:ligatures w14:val="standardContextual"/>
                    </w:rPr>
                    <w:t>监测点位</w:t>
                  </w:r>
                </w:p>
              </w:tc>
              <w:tc>
                <w:tcPr>
                  <w:tcW w:w="3032"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7F480253">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sz w:val="21"/>
                      <w:szCs w:val="21"/>
                      <w14:ligatures w14:val="standardContextual"/>
                    </w:rPr>
                  </w:pPr>
                  <w:r>
                    <w:rPr>
                      <w:rFonts w:hint="default" w:ascii="Times New Roman" w:hAnsi="Times New Roman" w:eastAsia="宋体" w:cs="Times New Roman"/>
                      <w:b/>
                      <w:i w:val="0"/>
                      <w:color w:val="auto"/>
                      <w:sz w:val="21"/>
                      <w:szCs w:val="21"/>
                      <w14:ligatures w14:val="standardContextual"/>
                    </w:rPr>
                    <w:t>监测项目</w:t>
                  </w:r>
                </w:p>
              </w:tc>
              <w:tc>
                <w:tcPr>
                  <w:tcW w:w="945" w:type="pct"/>
                  <w:tcBorders>
                    <w:top w:val="single" w:color="auto" w:sz="12" w:space="0"/>
                    <w:bottom w:val="single" w:color="auto" w:sz="12" w:space="0"/>
                    <w:right w:val="nil"/>
                    <w:insideH w:val="single" w:sz="12" w:space="0"/>
                    <w:insideV w:val="single" w:sz="4" w:space="0"/>
                    <w:tl2br w:val="nil"/>
                    <w:tr2bl w:val="nil"/>
                  </w:tcBorders>
                  <w:vAlign w:val="center"/>
                </w:tcPr>
                <w:p w14:paraId="5334DD33">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sz w:val="21"/>
                      <w:szCs w:val="21"/>
                      <w14:ligatures w14:val="standardContextual"/>
                    </w:rPr>
                  </w:pPr>
                  <w:r>
                    <w:rPr>
                      <w:rFonts w:hint="eastAsia" w:ascii="Times New Roman" w:hAnsi="Times New Roman" w:eastAsia="宋体" w:cs="Times New Roman"/>
                      <w:b/>
                      <w:i w:val="0"/>
                      <w:color w:val="auto"/>
                      <w:sz w:val="21"/>
                      <w:szCs w:val="21"/>
                      <w14:ligatures w14:val="standardContextual"/>
                    </w:rPr>
                    <w:t>最低</w:t>
                  </w:r>
                  <w:r>
                    <w:rPr>
                      <w:rFonts w:hint="default" w:ascii="Times New Roman" w:hAnsi="Times New Roman" w:eastAsia="宋体" w:cs="Times New Roman"/>
                      <w:b/>
                      <w:i w:val="0"/>
                      <w:color w:val="auto"/>
                      <w:sz w:val="21"/>
                      <w:szCs w:val="21"/>
                      <w14:ligatures w14:val="standardContextual"/>
                    </w:rPr>
                    <w:t>监测频次</w:t>
                  </w:r>
                </w:p>
              </w:tc>
            </w:tr>
            <w:tr w14:paraId="758167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024" w:type="pct"/>
                  <w:tcBorders>
                    <w:bottom w:val="single" w:color="auto" w:sz="12" w:space="0"/>
                    <w:insideH w:val="single" w:sz="12" w:space="0"/>
                  </w:tcBorders>
                  <w:vAlign w:val="center"/>
                </w:tcPr>
                <w:p w14:paraId="7E9E94A1">
                  <w:pPr>
                    <w:widowControl w:val="0"/>
                    <w:overflowPunct w:val="0"/>
                    <w:autoSpaceDE w:val="0"/>
                    <w:autoSpaceDN w:val="0"/>
                    <w:snapToGrid w:val="0"/>
                    <w:jc w:val="center"/>
                    <w:rPr>
                      <w:color w:val="auto"/>
                      <w14:ligatures w14:val="standardContextual"/>
                    </w:rPr>
                  </w:pPr>
                  <w:r>
                    <w:rPr>
                      <w:rFonts w:hint="eastAsia"/>
                      <w:color w:val="auto"/>
                      <w14:ligatures w14:val="standardContextual"/>
                    </w:rPr>
                    <w:t>DW001</w:t>
                  </w:r>
                </w:p>
              </w:tc>
              <w:tc>
                <w:tcPr>
                  <w:tcW w:w="3032" w:type="pct"/>
                  <w:tcBorders>
                    <w:bottom w:val="single" w:color="auto" w:sz="12" w:space="0"/>
                    <w:insideH w:val="single" w:sz="12" w:space="0"/>
                  </w:tcBorders>
                  <w:vAlign w:val="center"/>
                </w:tcPr>
                <w:p w14:paraId="1AA69619">
                  <w:pPr>
                    <w:widowControl w:val="0"/>
                    <w:overflowPunct w:val="0"/>
                    <w:autoSpaceDE w:val="0"/>
                    <w:autoSpaceDN w:val="0"/>
                    <w:snapToGrid w:val="0"/>
                    <w:jc w:val="center"/>
                    <w:rPr>
                      <w:color w:val="auto"/>
                      <w14:ligatures w14:val="standardContextual"/>
                    </w:rPr>
                  </w:pPr>
                  <w:r>
                    <w:rPr>
                      <w:rFonts w:hint="eastAsia"/>
                      <w:color w:val="auto"/>
                      <w14:ligatures w14:val="standardContextual"/>
                    </w:rPr>
                    <w:t>流量、pH、</w:t>
                  </w:r>
                  <w:r>
                    <w:rPr>
                      <w:color w:val="auto"/>
                      <w14:ligatures w14:val="standardContextual"/>
                    </w:rPr>
                    <w:t>COD</w:t>
                  </w:r>
                  <w:r>
                    <w:rPr>
                      <w:rFonts w:hint="eastAsia"/>
                      <w:color w:val="auto"/>
                      <w14:ligatures w14:val="standardContextual"/>
                    </w:rPr>
                    <w:t>、</w:t>
                  </w:r>
                  <w:r>
                    <w:rPr>
                      <w:color w:val="auto"/>
                      <w14:ligatures w14:val="standardContextual"/>
                    </w:rPr>
                    <w:t>BOD</w:t>
                  </w:r>
                  <w:r>
                    <w:rPr>
                      <w:color w:val="auto"/>
                      <w:vertAlign w:val="subscript"/>
                      <w14:ligatures w14:val="standardContextual"/>
                    </w:rPr>
                    <w:t>5</w:t>
                  </w:r>
                  <w:r>
                    <w:rPr>
                      <w:rFonts w:hint="eastAsia"/>
                      <w:color w:val="auto"/>
                      <w14:ligatures w14:val="standardContextual"/>
                    </w:rPr>
                    <w:t>、</w:t>
                  </w:r>
                  <w:r>
                    <w:rPr>
                      <w:color w:val="auto"/>
                      <w14:ligatures w14:val="standardContextual"/>
                    </w:rPr>
                    <w:t>SS</w:t>
                  </w:r>
                  <w:r>
                    <w:rPr>
                      <w:rFonts w:hint="eastAsia"/>
                      <w:color w:val="auto"/>
                      <w14:ligatures w14:val="standardContextual"/>
                    </w:rPr>
                    <w:t>、氨氮、总磷、总氮</w:t>
                  </w:r>
                </w:p>
              </w:tc>
              <w:tc>
                <w:tcPr>
                  <w:tcW w:w="945" w:type="pct"/>
                  <w:tcBorders>
                    <w:bottom w:val="single" w:color="auto" w:sz="12" w:space="0"/>
                    <w:insideH w:val="single" w:sz="12" w:space="0"/>
                  </w:tcBorders>
                  <w:vAlign w:val="center"/>
                </w:tcPr>
                <w:p w14:paraId="36631AAC">
                  <w:pPr>
                    <w:widowControl w:val="0"/>
                    <w:overflowPunct w:val="0"/>
                    <w:autoSpaceDE w:val="0"/>
                    <w:autoSpaceDN w:val="0"/>
                    <w:snapToGrid w:val="0"/>
                    <w:jc w:val="center"/>
                    <w:rPr>
                      <w:color w:val="auto"/>
                      <w14:ligatures w14:val="standardContextual"/>
                    </w:rPr>
                  </w:pPr>
                  <w:r>
                    <w:rPr>
                      <w:rFonts w:hint="eastAsia"/>
                      <w:color w:val="auto"/>
                      <w14:ligatures w14:val="standardContextual"/>
                    </w:rPr>
                    <w:t>1次/月</w:t>
                  </w:r>
                </w:p>
              </w:tc>
            </w:tr>
          </w:tbl>
          <w:p w14:paraId="7A506444">
            <w:pPr>
              <w:pStyle w:val="3"/>
              <w:ind w:firstLine="482"/>
              <w:rPr>
                <w:b/>
                <w:bCs/>
                <w:color w:val="auto"/>
              </w:rPr>
            </w:pPr>
            <w:r>
              <w:rPr>
                <w:rFonts w:hint="eastAsia"/>
                <w:b/>
                <w:bCs/>
                <w:color w:val="auto"/>
              </w:rPr>
              <w:t>6、废水环境影响结论</w:t>
            </w:r>
          </w:p>
          <w:p w14:paraId="6FDEB955">
            <w:pPr>
              <w:pStyle w:val="3"/>
              <w:ind w:firstLine="480"/>
              <w:rPr>
                <w:color w:val="auto"/>
              </w:rPr>
            </w:pPr>
            <w:r>
              <w:rPr>
                <w:rFonts w:hint="eastAsia"/>
                <w:color w:val="auto"/>
              </w:rPr>
              <w:t>本项目污水采用上述措施进行处理是可行的，项目产生的污水对周边地表水环境影响较小，可满足环境管理要求。</w:t>
            </w:r>
          </w:p>
          <w:p w14:paraId="29911795">
            <w:pPr>
              <w:pStyle w:val="7"/>
              <w:rPr>
                <w:color w:val="auto"/>
              </w:rPr>
            </w:pPr>
            <w:r>
              <w:rPr>
                <w:rFonts w:hint="eastAsia"/>
                <w:color w:val="auto"/>
              </w:rPr>
              <w:t>三、噪声</w:t>
            </w:r>
          </w:p>
          <w:p w14:paraId="3E4283CC">
            <w:pPr>
              <w:pStyle w:val="52"/>
              <w:rPr>
                <w:color w:val="auto"/>
              </w:rPr>
            </w:pPr>
            <w:r>
              <w:rPr>
                <w:rFonts w:hint="eastAsia"/>
                <w:color w:val="auto"/>
              </w:rPr>
              <w:t>1、声源情况</w:t>
            </w:r>
          </w:p>
          <w:p w14:paraId="45B3096D">
            <w:pPr>
              <w:pStyle w:val="3"/>
              <w:ind w:firstLine="480"/>
              <w:rPr>
                <w:color w:val="auto"/>
              </w:rPr>
            </w:pPr>
            <w:r>
              <w:rPr>
                <w:rFonts w:hint="eastAsia"/>
                <w:color w:val="auto"/>
              </w:rPr>
              <w:t>运营期噪声主要来源于车间内的</w:t>
            </w:r>
            <w:r>
              <w:rPr>
                <w:rFonts w:hint="eastAsia"/>
                <w:color w:val="auto"/>
                <w:u w:val="single"/>
              </w:rPr>
              <w:t>锅炉本体、鼓风机、引风机、补水泵等各类机械设备，类比同类型企业，主要设备噪声值约80~90dB(A)。</w:t>
            </w:r>
            <w:r>
              <w:rPr>
                <w:rFonts w:hint="eastAsia"/>
                <w:color w:val="auto"/>
              </w:rPr>
              <w:t>项目噪声源较高，</w:t>
            </w:r>
            <w:r>
              <w:rPr>
                <w:rFonts w:hint="eastAsia"/>
                <w:b/>
                <w:bCs/>
                <w:color w:val="auto"/>
              </w:rPr>
              <w:t>但都安置在厂房内。</w:t>
            </w:r>
            <w:r>
              <w:rPr>
                <w:rFonts w:hint="eastAsia"/>
                <w:color w:val="auto"/>
              </w:rPr>
              <w:t>为减轻噪声对环境的影响，本环评要求选用低噪声动力设备与机械设备，高噪声设备安装减震垫；运行时对设备进行维护，确保设备运转正常，避免故障运行的情况。</w:t>
            </w:r>
          </w:p>
          <w:p w14:paraId="07616676">
            <w:pPr>
              <w:pStyle w:val="49"/>
              <w:rPr>
                <w:color w:val="auto"/>
              </w:rPr>
            </w:pPr>
            <w:bookmarkStart w:id="220" w:name="_Ref176952915"/>
            <w:r>
              <w:rPr>
                <w:rFonts w:hint="eastAsia"/>
                <w:color w:val="auto"/>
              </w:rPr>
              <w:t xml:space="preserve">表4- </w:t>
            </w:r>
            <w:r>
              <w:rPr>
                <w:color w:val="auto"/>
              </w:rPr>
              <w:t>10</w:t>
            </w:r>
            <w:r>
              <w:rPr>
                <w:rFonts w:hint="eastAsia"/>
                <w:color w:val="auto"/>
              </w:rPr>
              <w:t>：工业企业噪声源强调查清单（室内声源）</w:t>
            </w:r>
            <w:bookmarkEnd w:id="220"/>
          </w:p>
          <w:tbl>
            <w:tblPr>
              <w:tblStyle w:val="50"/>
              <w:tblW w:w="793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301"/>
              <w:gridCol w:w="321"/>
              <w:gridCol w:w="1561"/>
              <w:gridCol w:w="567"/>
              <w:gridCol w:w="602"/>
              <w:gridCol w:w="566"/>
              <w:gridCol w:w="549"/>
              <w:gridCol w:w="377"/>
              <w:gridCol w:w="638"/>
              <w:gridCol w:w="675"/>
              <w:gridCol w:w="486"/>
              <w:gridCol w:w="585"/>
              <w:gridCol w:w="710"/>
            </w:tblGrid>
            <w:tr w14:paraId="1F0C5F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01" w:type="dxa"/>
                  <w:vMerge w:val="restart"/>
                  <w:tcBorders>
                    <w:top w:val="single" w:color="auto" w:sz="12" w:space="0"/>
                    <w:left w:val="nil"/>
                    <w:bottom w:val="single" w:color="auto" w:sz="12" w:space="0"/>
                    <w:right w:val="single" w:color="auto" w:sz="4" w:space="0"/>
                    <w:insideH w:val="single" w:sz="12" w:space="0"/>
                    <w:insideV w:val="single" w:sz="4" w:space="0"/>
                    <w:tl2br w:val="nil"/>
                    <w:tr2bl w:val="nil"/>
                  </w:tcBorders>
                  <w:vAlign w:val="center"/>
                </w:tcPr>
                <w:p w14:paraId="74CFE2F3">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sz w:val="15"/>
                      <w:szCs w:val="15"/>
                      <w14:ligatures w14:val="standardContextual"/>
                    </w:rPr>
                  </w:pPr>
                  <w:r>
                    <w:rPr>
                      <w:rFonts w:hint="eastAsia" w:ascii="Times New Roman" w:hAnsi="Times New Roman" w:eastAsia="宋体" w:cs="Times New Roman"/>
                      <w:b/>
                      <w:i w:val="0"/>
                      <w:color w:val="auto"/>
                      <w:sz w:val="15"/>
                      <w:szCs w:val="15"/>
                      <w14:ligatures w14:val="standardContextual"/>
                    </w:rPr>
                    <w:t>序号</w:t>
                  </w:r>
                </w:p>
              </w:tc>
              <w:tc>
                <w:tcPr>
                  <w:tcW w:w="321" w:type="dxa"/>
                  <w:vMerge w:val="restar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66427DA9">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sz w:val="15"/>
                      <w:szCs w:val="15"/>
                      <w14:ligatures w14:val="standardContextual"/>
                    </w:rPr>
                  </w:pPr>
                  <w:r>
                    <w:rPr>
                      <w:rFonts w:hint="eastAsia" w:ascii="Times New Roman" w:hAnsi="Times New Roman" w:eastAsia="宋体" w:cs="Times New Roman"/>
                      <w:b/>
                      <w:i w:val="0"/>
                      <w:color w:val="auto"/>
                      <w:sz w:val="15"/>
                      <w:szCs w:val="15"/>
                      <w14:ligatures w14:val="standardContextual"/>
                    </w:rPr>
                    <w:t>建筑物名称</w:t>
                  </w:r>
                </w:p>
              </w:tc>
              <w:tc>
                <w:tcPr>
                  <w:tcW w:w="1561" w:type="dxa"/>
                  <w:vMerge w:val="restar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1FDBA020">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sz w:val="15"/>
                      <w:szCs w:val="15"/>
                      <w14:ligatures w14:val="standardContextual"/>
                    </w:rPr>
                  </w:pPr>
                  <w:r>
                    <w:rPr>
                      <w:rFonts w:hint="eastAsia" w:ascii="Times New Roman" w:hAnsi="Times New Roman" w:eastAsia="宋体" w:cs="Times New Roman"/>
                      <w:b/>
                      <w:i w:val="0"/>
                      <w:color w:val="auto"/>
                      <w:sz w:val="15"/>
                      <w:szCs w:val="15"/>
                      <w14:ligatures w14:val="standardContextual"/>
                    </w:rPr>
                    <w:t>声源名称</w:t>
                  </w:r>
                </w:p>
              </w:tc>
              <w:tc>
                <w:tcPr>
                  <w:tcW w:w="567" w:type="dxa"/>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479ABC66">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sz w:val="15"/>
                      <w:szCs w:val="15"/>
                      <w14:ligatures w14:val="standardContextual"/>
                    </w:rPr>
                  </w:pPr>
                  <w:r>
                    <w:rPr>
                      <w:rFonts w:hint="eastAsia" w:ascii="Times New Roman" w:hAnsi="Times New Roman" w:eastAsia="宋体" w:cs="Times New Roman"/>
                      <w:b/>
                      <w:i w:val="0"/>
                      <w:color w:val="auto"/>
                      <w:sz w:val="15"/>
                      <w:szCs w:val="15"/>
                      <w14:ligatures w14:val="standardContextual"/>
                    </w:rPr>
                    <w:t>声源源强</w:t>
                  </w:r>
                </w:p>
              </w:tc>
              <w:tc>
                <w:tcPr>
                  <w:tcW w:w="602" w:type="dxa"/>
                  <w:vMerge w:val="restar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163A678E">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sz w:val="15"/>
                      <w:szCs w:val="15"/>
                      <w14:ligatures w14:val="standardContextual"/>
                    </w:rPr>
                  </w:pPr>
                  <w:r>
                    <w:rPr>
                      <w:rFonts w:hint="eastAsia" w:ascii="Times New Roman" w:hAnsi="Times New Roman" w:eastAsia="宋体" w:cs="Times New Roman"/>
                      <w:b/>
                      <w:i w:val="0"/>
                      <w:color w:val="auto"/>
                      <w:sz w:val="15"/>
                      <w:szCs w:val="15"/>
                      <w14:ligatures w14:val="standardContextual"/>
                    </w:rPr>
                    <w:t>声源控制措施</w:t>
                  </w:r>
                </w:p>
              </w:tc>
              <w:tc>
                <w:tcPr>
                  <w:tcW w:w="1492" w:type="dxa"/>
                  <w:gridSpan w:val="3"/>
                  <w:vMerge w:val="restar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59A36589">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sz w:val="15"/>
                      <w:szCs w:val="15"/>
                      <w14:ligatures w14:val="standardContextual"/>
                    </w:rPr>
                  </w:pPr>
                  <w:r>
                    <w:rPr>
                      <w:rFonts w:hint="eastAsia" w:ascii="Times New Roman" w:hAnsi="Times New Roman" w:eastAsia="宋体" w:cs="Times New Roman"/>
                      <w:b/>
                      <w:i w:val="0"/>
                      <w:color w:val="auto"/>
                      <w:sz w:val="15"/>
                      <w:szCs w:val="15"/>
                      <w14:ligatures w14:val="standardContextual"/>
                    </w:rPr>
                    <w:t>空间相对位置</w:t>
                  </w:r>
                  <w:r>
                    <w:rPr>
                      <w:rFonts w:hint="default" w:ascii="Times New Roman" w:hAnsi="Times New Roman" w:eastAsia="宋体" w:cs="Times New Roman"/>
                      <w:b/>
                      <w:i w:val="0"/>
                      <w:color w:val="auto"/>
                      <w:sz w:val="15"/>
                      <w:szCs w:val="15"/>
                      <w14:ligatures w14:val="standardContextual"/>
                    </w:rPr>
                    <w:t>/m</w:t>
                  </w:r>
                </w:p>
              </w:tc>
              <w:tc>
                <w:tcPr>
                  <w:tcW w:w="638" w:type="dxa"/>
                  <w:vMerge w:val="restar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6C7B2663">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sz w:val="15"/>
                      <w:szCs w:val="15"/>
                      <w14:ligatures w14:val="standardContextual"/>
                    </w:rPr>
                  </w:pPr>
                  <w:r>
                    <w:rPr>
                      <w:rFonts w:hint="eastAsia" w:ascii="Times New Roman" w:hAnsi="Times New Roman" w:eastAsia="宋体" w:cs="Times New Roman"/>
                      <w:b/>
                      <w:i w:val="0"/>
                      <w:color w:val="auto"/>
                      <w:sz w:val="15"/>
                      <w:szCs w:val="15"/>
                      <w14:ligatures w14:val="standardContextual"/>
                    </w:rPr>
                    <w:t>距室内边界最近距离</w:t>
                  </w:r>
                  <w:r>
                    <w:rPr>
                      <w:rFonts w:hint="default" w:ascii="Times New Roman" w:hAnsi="Times New Roman" w:eastAsia="宋体" w:cs="Times New Roman"/>
                      <w:b/>
                      <w:i w:val="0"/>
                      <w:color w:val="auto"/>
                      <w:sz w:val="15"/>
                      <w:szCs w:val="15"/>
                      <w14:ligatures w14:val="standardContextual"/>
                    </w:rPr>
                    <w:t>/m</w:t>
                  </w:r>
                </w:p>
              </w:tc>
              <w:tc>
                <w:tcPr>
                  <w:tcW w:w="675" w:type="dxa"/>
                  <w:vMerge w:val="restar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4B7C9A34">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sz w:val="15"/>
                      <w:szCs w:val="15"/>
                      <w14:ligatures w14:val="standardContextual"/>
                    </w:rPr>
                  </w:pPr>
                  <w:r>
                    <w:rPr>
                      <w:rFonts w:hint="eastAsia" w:ascii="Times New Roman" w:hAnsi="Times New Roman" w:eastAsia="宋体" w:cs="Times New Roman"/>
                      <w:b/>
                      <w:i w:val="0"/>
                      <w:color w:val="auto"/>
                      <w:sz w:val="15"/>
                      <w:szCs w:val="15"/>
                      <w14:ligatures w14:val="standardContextual"/>
                    </w:rPr>
                    <w:t>室内边界声级</w:t>
                  </w:r>
                  <w:r>
                    <w:rPr>
                      <w:rFonts w:hint="default" w:ascii="Times New Roman" w:hAnsi="Times New Roman" w:eastAsia="宋体" w:cs="Times New Roman"/>
                      <w:b/>
                      <w:i w:val="0"/>
                      <w:color w:val="auto"/>
                      <w:sz w:val="15"/>
                      <w:szCs w:val="15"/>
                      <w14:ligatures w14:val="standardContextual"/>
                    </w:rPr>
                    <w:t>/dB(A)</w:t>
                  </w:r>
                </w:p>
              </w:tc>
              <w:tc>
                <w:tcPr>
                  <w:tcW w:w="486" w:type="dxa"/>
                  <w:vMerge w:val="restar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063488A6">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sz w:val="15"/>
                      <w:szCs w:val="15"/>
                      <w14:ligatures w14:val="standardContextual"/>
                    </w:rPr>
                  </w:pPr>
                  <w:r>
                    <w:rPr>
                      <w:rFonts w:hint="eastAsia" w:ascii="Times New Roman" w:hAnsi="Times New Roman" w:eastAsia="宋体" w:cs="Times New Roman"/>
                      <w:b/>
                      <w:i w:val="0"/>
                      <w:color w:val="auto"/>
                      <w:sz w:val="15"/>
                      <w:szCs w:val="15"/>
                      <w14:ligatures w14:val="standardContextual"/>
                    </w:rPr>
                    <w:t>运行时段</w:t>
                  </w:r>
                </w:p>
              </w:tc>
              <w:tc>
                <w:tcPr>
                  <w:tcW w:w="585" w:type="dxa"/>
                  <w:vMerge w:val="restar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286AEDEC">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sz w:val="15"/>
                      <w:szCs w:val="15"/>
                      <w14:ligatures w14:val="standardContextual"/>
                    </w:rPr>
                  </w:pPr>
                  <w:r>
                    <w:rPr>
                      <w:rFonts w:hint="eastAsia" w:ascii="Times New Roman" w:hAnsi="Times New Roman" w:eastAsia="宋体" w:cs="Times New Roman"/>
                      <w:b/>
                      <w:i w:val="0"/>
                      <w:color w:val="auto"/>
                      <w:sz w:val="15"/>
                      <w:szCs w:val="15"/>
                      <w14:ligatures w14:val="standardContextual"/>
                    </w:rPr>
                    <w:t>建筑物插入损失</w:t>
                  </w:r>
                  <w:r>
                    <w:rPr>
                      <w:rFonts w:hint="default" w:ascii="Times New Roman" w:hAnsi="Times New Roman" w:eastAsia="宋体" w:cs="Times New Roman"/>
                      <w:b/>
                      <w:i w:val="0"/>
                      <w:color w:val="auto"/>
                      <w:sz w:val="15"/>
                      <w:szCs w:val="15"/>
                      <w14:ligatures w14:val="standardContextual"/>
                    </w:rPr>
                    <w:t>dB(A)</w:t>
                  </w:r>
                </w:p>
              </w:tc>
              <w:tc>
                <w:tcPr>
                  <w:tcW w:w="710" w:type="dxa"/>
                  <w:vMerge w:val="restart"/>
                  <w:tcBorders>
                    <w:top w:val="single" w:color="auto" w:sz="12" w:space="0"/>
                    <w:bottom w:val="single" w:color="auto" w:sz="12" w:space="0"/>
                    <w:right w:val="nil"/>
                    <w:insideH w:val="single" w:sz="12" w:space="0"/>
                    <w:insideV w:val="single" w:sz="4" w:space="0"/>
                    <w:tl2br w:val="nil"/>
                    <w:tr2bl w:val="nil"/>
                  </w:tcBorders>
                  <w:vAlign w:val="center"/>
                </w:tcPr>
                <w:p w14:paraId="29363141">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sz w:val="15"/>
                      <w:szCs w:val="15"/>
                      <w14:ligatures w14:val="standardContextual"/>
                    </w:rPr>
                  </w:pPr>
                  <w:r>
                    <w:rPr>
                      <w:rFonts w:hint="eastAsia" w:ascii="Times New Roman" w:hAnsi="Times New Roman" w:eastAsia="宋体" w:cs="Times New Roman"/>
                      <w:b/>
                      <w:i w:val="0"/>
                      <w:color w:val="auto"/>
                      <w:sz w:val="15"/>
                      <w:szCs w:val="15"/>
                      <w14:ligatures w14:val="standardContextual"/>
                    </w:rPr>
                    <w:t>建筑物外</w:t>
                  </w:r>
                  <w:r>
                    <w:rPr>
                      <w:rFonts w:hint="default" w:ascii="Times New Roman" w:hAnsi="Times New Roman" w:eastAsia="宋体" w:cs="Times New Roman"/>
                      <w:b/>
                      <w:i w:val="0"/>
                      <w:color w:val="auto"/>
                      <w:sz w:val="15"/>
                      <w:szCs w:val="15"/>
                      <w14:ligatures w14:val="standardContextual"/>
                    </w:rPr>
                    <w:t>1m</w:t>
                  </w:r>
                  <w:r>
                    <w:rPr>
                      <w:rFonts w:hint="eastAsia" w:ascii="Times New Roman" w:hAnsi="Times New Roman" w:eastAsia="宋体" w:cs="Times New Roman"/>
                      <w:b/>
                      <w:i w:val="0"/>
                      <w:color w:val="auto"/>
                      <w:sz w:val="15"/>
                      <w:szCs w:val="15"/>
                      <w14:ligatures w14:val="standardContextual"/>
                    </w:rPr>
                    <w:t>处噪声声压级</w:t>
                  </w:r>
                  <w:r>
                    <w:rPr>
                      <w:rFonts w:hint="default" w:ascii="Times New Roman" w:hAnsi="Times New Roman" w:eastAsia="宋体" w:cs="Times New Roman"/>
                      <w:b/>
                      <w:i w:val="0"/>
                      <w:color w:val="auto"/>
                      <w:sz w:val="15"/>
                      <w:szCs w:val="15"/>
                      <w14:ligatures w14:val="standardContextual"/>
                    </w:rPr>
                    <w:t>/dB(A)</w:t>
                  </w:r>
                </w:p>
              </w:tc>
            </w:tr>
            <w:tr w14:paraId="44841F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41" w:hRule="atLeast"/>
                <w:jc w:val="center"/>
              </w:trPr>
              <w:tc>
                <w:tcPr>
                  <w:tcW w:w="301" w:type="dxa"/>
                  <w:vMerge w:val="continue"/>
                  <w:vAlign w:val="center"/>
                </w:tcPr>
                <w:p w14:paraId="38AA70FF">
                  <w:pPr>
                    <w:widowControl w:val="0"/>
                    <w:overflowPunct w:val="0"/>
                    <w:autoSpaceDE w:val="0"/>
                    <w:autoSpaceDN w:val="0"/>
                    <w:snapToGrid w:val="0"/>
                    <w:jc w:val="center"/>
                    <w:rPr>
                      <w:color w:val="auto"/>
                      <w:sz w:val="15"/>
                      <w:szCs w:val="15"/>
                      <w14:ligatures w14:val="standardContextual"/>
                    </w:rPr>
                  </w:pPr>
                </w:p>
              </w:tc>
              <w:tc>
                <w:tcPr>
                  <w:tcW w:w="321" w:type="dxa"/>
                  <w:vMerge w:val="continue"/>
                  <w:vAlign w:val="center"/>
                </w:tcPr>
                <w:p w14:paraId="7DBDB1B6">
                  <w:pPr>
                    <w:widowControl w:val="0"/>
                    <w:overflowPunct w:val="0"/>
                    <w:autoSpaceDE w:val="0"/>
                    <w:autoSpaceDN w:val="0"/>
                    <w:snapToGrid w:val="0"/>
                    <w:jc w:val="center"/>
                    <w:rPr>
                      <w:color w:val="auto"/>
                      <w:sz w:val="15"/>
                      <w:szCs w:val="15"/>
                      <w14:ligatures w14:val="standardContextual"/>
                    </w:rPr>
                  </w:pPr>
                </w:p>
              </w:tc>
              <w:tc>
                <w:tcPr>
                  <w:tcW w:w="1561" w:type="dxa"/>
                  <w:vMerge w:val="continue"/>
                  <w:vAlign w:val="center"/>
                </w:tcPr>
                <w:p w14:paraId="71579377">
                  <w:pPr>
                    <w:widowControl w:val="0"/>
                    <w:overflowPunct w:val="0"/>
                    <w:autoSpaceDE w:val="0"/>
                    <w:autoSpaceDN w:val="0"/>
                    <w:snapToGrid w:val="0"/>
                    <w:jc w:val="center"/>
                    <w:rPr>
                      <w:color w:val="auto"/>
                      <w:sz w:val="15"/>
                      <w:szCs w:val="15"/>
                      <w14:ligatures w14:val="standardContextual"/>
                    </w:rPr>
                  </w:pPr>
                </w:p>
              </w:tc>
              <w:tc>
                <w:tcPr>
                  <w:tcW w:w="567" w:type="dxa"/>
                  <w:vMerge w:val="restart"/>
                  <w:vAlign w:val="center"/>
                </w:tcPr>
                <w:p w14:paraId="47C14247">
                  <w:pPr>
                    <w:widowControl w:val="0"/>
                    <w:overflowPunct w:val="0"/>
                    <w:autoSpaceDE w:val="0"/>
                    <w:autoSpaceDN w:val="0"/>
                    <w:snapToGrid w:val="0"/>
                    <w:jc w:val="center"/>
                    <w:rPr>
                      <w:color w:val="auto"/>
                      <w:sz w:val="15"/>
                      <w:szCs w:val="15"/>
                      <w14:ligatures w14:val="standardContextual"/>
                    </w:rPr>
                  </w:pPr>
                  <w:r>
                    <w:rPr>
                      <w:rFonts w:hint="eastAsia"/>
                      <w:color w:val="auto"/>
                      <w:sz w:val="15"/>
                      <w:szCs w:val="15"/>
                      <w14:ligatures w14:val="standardContextual"/>
                    </w:rPr>
                    <w:t>声功率级</w:t>
                  </w:r>
                  <w:r>
                    <w:rPr>
                      <w:color w:val="auto"/>
                      <w:sz w:val="15"/>
                      <w:szCs w:val="15"/>
                      <w14:ligatures w14:val="standardContextual"/>
                    </w:rPr>
                    <w:t>dB</w:t>
                  </w:r>
                  <w:r>
                    <w:rPr>
                      <w:rFonts w:hint="eastAsia"/>
                      <w:color w:val="auto"/>
                      <w:sz w:val="15"/>
                      <w:szCs w:val="15"/>
                      <w14:ligatures w14:val="standardContextual"/>
                    </w:rPr>
                    <w:t>（</w:t>
                  </w:r>
                  <w:r>
                    <w:rPr>
                      <w:color w:val="auto"/>
                      <w:sz w:val="15"/>
                      <w:szCs w:val="15"/>
                      <w14:ligatures w14:val="standardContextual"/>
                    </w:rPr>
                    <w:t>A</w:t>
                  </w:r>
                  <w:r>
                    <w:rPr>
                      <w:rFonts w:hint="eastAsia"/>
                      <w:color w:val="auto"/>
                      <w:sz w:val="15"/>
                      <w:szCs w:val="15"/>
                      <w14:ligatures w14:val="standardContextual"/>
                    </w:rPr>
                    <w:t>）</w:t>
                  </w:r>
                </w:p>
              </w:tc>
              <w:tc>
                <w:tcPr>
                  <w:tcW w:w="602" w:type="dxa"/>
                  <w:vMerge w:val="continue"/>
                  <w:vAlign w:val="center"/>
                </w:tcPr>
                <w:p w14:paraId="5C1875FB">
                  <w:pPr>
                    <w:widowControl w:val="0"/>
                    <w:overflowPunct w:val="0"/>
                    <w:autoSpaceDE w:val="0"/>
                    <w:autoSpaceDN w:val="0"/>
                    <w:snapToGrid w:val="0"/>
                    <w:jc w:val="center"/>
                    <w:rPr>
                      <w:color w:val="auto"/>
                      <w:sz w:val="15"/>
                      <w:szCs w:val="15"/>
                      <w14:ligatures w14:val="standardContextual"/>
                    </w:rPr>
                  </w:pPr>
                </w:p>
              </w:tc>
              <w:tc>
                <w:tcPr>
                  <w:tcW w:w="1492" w:type="dxa"/>
                  <w:gridSpan w:val="3"/>
                  <w:vMerge w:val="continue"/>
                  <w:vAlign w:val="center"/>
                </w:tcPr>
                <w:p w14:paraId="3173165F">
                  <w:pPr>
                    <w:widowControl w:val="0"/>
                    <w:overflowPunct w:val="0"/>
                    <w:autoSpaceDE w:val="0"/>
                    <w:autoSpaceDN w:val="0"/>
                    <w:snapToGrid w:val="0"/>
                    <w:jc w:val="center"/>
                    <w:rPr>
                      <w:color w:val="auto"/>
                      <w:sz w:val="15"/>
                      <w:szCs w:val="15"/>
                      <w14:ligatures w14:val="standardContextual"/>
                    </w:rPr>
                  </w:pPr>
                </w:p>
              </w:tc>
              <w:tc>
                <w:tcPr>
                  <w:tcW w:w="638" w:type="dxa"/>
                  <w:vMerge w:val="continue"/>
                  <w:vAlign w:val="center"/>
                </w:tcPr>
                <w:p w14:paraId="272DFB7A">
                  <w:pPr>
                    <w:widowControl w:val="0"/>
                    <w:overflowPunct w:val="0"/>
                    <w:autoSpaceDE w:val="0"/>
                    <w:autoSpaceDN w:val="0"/>
                    <w:snapToGrid w:val="0"/>
                    <w:jc w:val="center"/>
                    <w:rPr>
                      <w:color w:val="auto"/>
                      <w:sz w:val="15"/>
                      <w:szCs w:val="15"/>
                      <w14:ligatures w14:val="standardContextual"/>
                    </w:rPr>
                  </w:pPr>
                </w:p>
              </w:tc>
              <w:tc>
                <w:tcPr>
                  <w:tcW w:w="675" w:type="dxa"/>
                  <w:vMerge w:val="continue"/>
                  <w:vAlign w:val="center"/>
                </w:tcPr>
                <w:p w14:paraId="2A153D4E">
                  <w:pPr>
                    <w:widowControl w:val="0"/>
                    <w:overflowPunct w:val="0"/>
                    <w:autoSpaceDE w:val="0"/>
                    <w:autoSpaceDN w:val="0"/>
                    <w:snapToGrid w:val="0"/>
                    <w:jc w:val="center"/>
                    <w:rPr>
                      <w:color w:val="auto"/>
                      <w:sz w:val="15"/>
                      <w:szCs w:val="15"/>
                      <w14:ligatures w14:val="standardContextual"/>
                    </w:rPr>
                  </w:pPr>
                </w:p>
              </w:tc>
              <w:tc>
                <w:tcPr>
                  <w:tcW w:w="486" w:type="dxa"/>
                  <w:vMerge w:val="continue"/>
                  <w:vAlign w:val="center"/>
                </w:tcPr>
                <w:p w14:paraId="0BDDA5D7">
                  <w:pPr>
                    <w:widowControl w:val="0"/>
                    <w:overflowPunct w:val="0"/>
                    <w:autoSpaceDE w:val="0"/>
                    <w:autoSpaceDN w:val="0"/>
                    <w:snapToGrid w:val="0"/>
                    <w:jc w:val="center"/>
                    <w:rPr>
                      <w:color w:val="auto"/>
                      <w:sz w:val="15"/>
                      <w:szCs w:val="15"/>
                      <w14:ligatures w14:val="standardContextual"/>
                    </w:rPr>
                  </w:pPr>
                </w:p>
              </w:tc>
              <w:tc>
                <w:tcPr>
                  <w:tcW w:w="585" w:type="dxa"/>
                  <w:vMerge w:val="continue"/>
                  <w:vAlign w:val="center"/>
                </w:tcPr>
                <w:p w14:paraId="512FEE0A">
                  <w:pPr>
                    <w:widowControl w:val="0"/>
                    <w:overflowPunct w:val="0"/>
                    <w:autoSpaceDE w:val="0"/>
                    <w:autoSpaceDN w:val="0"/>
                    <w:snapToGrid w:val="0"/>
                    <w:jc w:val="center"/>
                    <w:rPr>
                      <w:color w:val="auto"/>
                      <w:sz w:val="15"/>
                      <w:szCs w:val="15"/>
                      <w14:ligatures w14:val="standardContextual"/>
                    </w:rPr>
                  </w:pPr>
                </w:p>
              </w:tc>
              <w:tc>
                <w:tcPr>
                  <w:tcW w:w="710" w:type="dxa"/>
                  <w:vMerge w:val="continue"/>
                  <w:vAlign w:val="center"/>
                </w:tcPr>
                <w:p w14:paraId="36CBD3AB">
                  <w:pPr>
                    <w:widowControl w:val="0"/>
                    <w:overflowPunct w:val="0"/>
                    <w:autoSpaceDE w:val="0"/>
                    <w:autoSpaceDN w:val="0"/>
                    <w:snapToGrid w:val="0"/>
                    <w:jc w:val="center"/>
                    <w:rPr>
                      <w:color w:val="auto"/>
                      <w:sz w:val="15"/>
                      <w:szCs w:val="15"/>
                      <w14:ligatures w14:val="standardContextual"/>
                    </w:rPr>
                  </w:pPr>
                </w:p>
              </w:tc>
            </w:tr>
            <w:tr w14:paraId="4C1554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01" w:type="dxa"/>
                  <w:vMerge w:val="continue"/>
                  <w:vAlign w:val="center"/>
                </w:tcPr>
                <w:p w14:paraId="1BB4F1C2">
                  <w:pPr>
                    <w:widowControl w:val="0"/>
                    <w:overflowPunct w:val="0"/>
                    <w:autoSpaceDE w:val="0"/>
                    <w:autoSpaceDN w:val="0"/>
                    <w:snapToGrid w:val="0"/>
                    <w:jc w:val="center"/>
                    <w:rPr>
                      <w:color w:val="auto"/>
                      <w:sz w:val="15"/>
                      <w:szCs w:val="15"/>
                      <w14:ligatures w14:val="standardContextual"/>
                    </w:rPr>
                  </w:pPr>
                </w:p>
              </w:tc>
              <w:tc>
                <w:tcPr>
                  <w:tcW w:w="321" w:type="dxa"/>
                  <w:vMerge w:val="continue"/>
                  <w:vAlign w:val="center"/>
                </w:tcPr>
                <w:p w14:paraId="07AB5C52">
                  <w:pPr>
                    <w:widowControl w:val="0"/>
                    <w:overflowPunct w:val="0"/>
                    <w:autoSpaceDE w:val="0"/>
                    <w:autoSpaceDN w:val="0"/>
                    <w:snapToGrid w:val="0"/>
                    <w:jc w:val="center"/>
                    <w:rPr>
                      <w:color w:val="auto"/>
                      <w:sz w:val="15"/>
                      <w:szCs w:val="15"/>
                      <w14:ligatures w14:val="standardContextual"/>
                    </w:rPr>
                  </w:pPr>
                </w:p>
              </w:tc>
              <w:tc>
                <w:tcPr>
                  <w:tcW w:w="1561" w:type="dxa"/>
                  <w:vMerge w:val="continue"/>
                  <w:vAlign w:val="center"/>
                </w:tcPr>
                <w:p w14:paraId="54017C25">
                  <w:pPr>
                    <w:widowControl w:val="0"/>
                    <w:overflowPunct w:val="0"/>
                    <w:autoSpaceDE w:val="0"/>
                    <w:autoSpaceDN w:val="0"/>
                    <w:snapToGrid w:val="0"/>
                    <w:jc w:val="center"/>
                    <w:rPr>
                      <w:color w:val="auto"/>
                      <w:sz w:val="15"/>
                      <w:szCs w:val="15"/>
                      <w14:ligatures w14:val="standardContextual"/>
                    </w:rPr>
                  </w:pPr>
                </w:p>
              </w:tc>
              <w:tc>
                <w:tcPr>
                  <w:tcW w:w="567" w:type="dxa"/>
                  <w:vMerge w:val="continue"/>
                  <w:vAlign w:val="center"/>
                </w:tcPr>
                <w:p w14:paraId="580486C9">
                  <w:pPr>
                    <w:widowControl w:val="0"/>
                    <w:overflowPunct w:val="0"/>
                    <w:autoSpaceDE w:val="0"/>
                    <w:autoSpaceDN w:val="0"/>
                    <w:snapToGrid w:val="0"/>
                    <w:jc w:val="center"/>
                    <w:rPr>
                      <w:color w:val="auto"/>
                      <w:sz w:val="15"/>
                      <w:szCs w:val="15"/>
                      <w14:ligatures w14:val="standardContextual"/>
                    </w:rPr>
                  </w:pPr>
                </w:p>
              </w:tc>
              <w:tc>
                <w:tcPr>
                  <w:tcW w:w="602" w:type="dxa"/>
                  <w:vMerge w:val="continue"/>
                  <w:vAlign w:val="center"/>
                </w:tcPr>
                <w:p w14:paraId="40B3A3B6">
                  <w:pPr>
                    <w:widowControl w:val="0"/>
                    <w:overflowPunct w:val="0"/>
                    <w:autoSpaceDE w:val="0"/>
                    <w:autoSpaceDN w:val="0"/>
                    <w:snapToGrid w:val="0"/>
                    <w:jc w:val="center"/>
                    <w:rPr>
                      <w:color w:val="auto"/>
                      <w:sz w:val="15"/>
                      <w:szCs w:val="15"/>
                      <w14:ligatures w14:val="standardContextual"/>
                    </w:rPr>
                  </w:pPr>
                </w:p>
              </w:tc>
              <w:tc>
                <w:tcPr>
                  <w:tcW w:w="566" w:type="dxa"/>
                  <w:vAlign w:val="center"/>
                </w:tcPr>
                <w:p w14:paraId="469C5D06">
                  <w:pPr>
                    <w:widowControl w:val="0"/>
                    <w:overflowPunct w:val="0"/>
                    <w:autoSpaceDE w:val="0"/>
                    <w:autoSpaceDN w:val="0"/>
                    <w:snapToGrid w:val="0"/>
                    <w:jc w:val="center"/>
                    <w:rPr>
                      <w:color w:val="auto"/>
                      <w:sz w:val="15"/>
                      <w:szCs w:val="15"/>
                      <w14:ligatures w14:val="standardContextual"/>
                    </w:rPr>
                  </w:pPr>
                  <w:r>
                    <w:rPr>
                      <w:color w:val="auto"/>
                      <w:sz w:val="15"/>
                      <w:szCs w:val="15"/>
                      <w14:ligatures w14:val="standardContextual"/>
                    </w:rPr>
                    <w:t>X</w:t>
                  </w:r>
                </w:p>
              </w:tc>
              <w:tc>
                <w:tcPr>
                  <w:tcW w:w="549" w:type="dxa"/>
                  <w:vAlign w:val="center"/>
                </w:tcPr>
                <w:p w14:paraId="77A99C33">
                  <w:pPr>
                    <w:widowControl w:val="0"/>
                    <w:overflowPunct w:val="0"/>
                    <w:autoSpaceDE w:val="0"/>
                    <w:autoSpaceDN w:val="0"/>
                    <w:snapToGrid w:val="0"/>
                    <w:jc w:val="center"/>
                    <w:rPr>
                      <w:color w:val="auto"/>
                      <w:sz w:val="15"/>
                      <w:szCs w:val="15"/>
                      <w14:ligatures w14:val="standardContextual"/>
                    </w:rPr>
                  </w:pPr>
                  <w:r>
                    <w:rPr>
                      <w:color w:val="auto"/>
                      <w:sz w:val="15"/>
                      <w:szCs w:val="15"/>
                      <w14:ligatures w14:val="standardContextual"/>
                    </w:rPr>
                    <w:t>Y</w:t>
                  </w:r>
                </w:p>
              </w:tc>
              <w:tc>
                <w:tcPr>
                  <w:tcW w:w="377" w:type="dxa"/>
                  <w:vAlign w:val="center"/>
                </w:tcPr>
                <w:p w14:paraId="40DA3562">
                  <w:pPr>
                    <w:widowControl w:val="0"/>
                    <w:overflowPunct w:val="0"/>
                    <w:autoSpaceDE w:val="0"/>
                    <w:autoSpaceDN w:val="0"/>
                    <w:snapToGrid w:val="0"/>
                    <w:jc w:val="center"/>
                    <w:rPr>
                      <w:color w:val="auto"/>
                      <w:sz w:val="15"/>
                      <w:szCs w:val="15"/>
                      <w14:ligatures w14:val="standardContextual"/>
                    </w:rPr>
                  </w:pPr>
                  <w:r>
                    <w:rPr>
                      <w:color w:val="auto"/>
                      <w:sz w:val="15"/>
                      <w:szCs w:val="15"/>
                      <w14:ligatures w14:val="standardContextual"/>
                    </w:rPr>
                    <w:t>Z</w:t>
                  </w:r>
                </w:p>
              </w:tc>
              <w:tc>
                <w:tcPr>
                  <w:tcW w:w="638" w:type="dxa"/>
                  <w:vMerge w:val="continue"/>
                  <w:vAlign w:val="center"/>
                </w:tcPr>
                <w:p w14:paraId="16FDC45A">
                  <w:pPr>
                    <w:widowControl w:val="0"/>
                    <w:overflowPunct w:val="0"/>
                    <w:autoSpaceDE w:val="0"/>
                    <w:autoSpaceDN w:val="0"/>
                    <w:snapToGrid w:val="0"/>
                    <w:jc w:val="center"/>
                    <w:rPr>
                      <w:color w:val="auto"/>
                      <w:sz w:val="15"/>
                      <w:szCs w:val="15"/>
                      <w14:ligatures w14:val="standardContextual"/>
                    </w:rPr>
                  </w:pPr>
                </w:p>
              </w:tc>
              <w:tc>
                <w:tcPr>
                  <w:tcW w:w="675" w:type="dxa"/>
                  <w:vMerge w:val="continue"/>
                  <w:vAlign w:val="center"/>
                </w:tcPr>
                <w:p w14:paraId="20626107">
                  <w:pPr>
                    <w:widowControl w:val="0"/>
                    <w:overflowPunct w:val="0"/>
                    <w:autoSpaceDE w:val="0"/>
                    <w:autoSpaceDN w:val="0"/>
                    <w:snapToGrid w:val="0"/>
                    <w:jc w:val="center"/>
                    <w:rPr>
                      <w:color w:val="auto"/>
                      <w:sz w:val="15"/>
                      <w:szCs w:val="15"/>
                      <w14:ligatures w14:val="standardContextual"/>
                    </w:rPr>
                  </w:pPr>
                </w:p>
              </w:tc>
              <w:tc>
                <w:tcPr>
                  <w:tcW w:w="486" w:type="dxa"/>
                  <w:vMerge w:val="continue"/>
                  <w:vAlign w:val="center"/>
                </w:tcPr>
                <w:p w14:paraId="79310316">
                  <w:pPr>
                    <w:widowControl w:val="0"/>
                    <w:overflowPunct w:val="0"/>
                    <w:autoSpaceDE w:val="0"/>
                    <w:autoSpaceDN w:val="0"/>
                    <w:snapToGrid w:val="0"/>
                    <w:jc w:val="center"/>
                    <w:rPr>
                      <w:color w:val="auto"/>
                      <w:sz w:val="15"/>
                      <w:szCs w:val="15"/>
                      <w14:ligatures w14:val="standardContextual"/>
                    </w:rPr>
                  </w:pPr>
                </w:p>
              </w:tc>
              <w:tc>
                <w:tcPr>
                  <w:tcW w:w="585" w:type="dxa"/>
                  <w:vMerge w:val="continue"/>
                  <w:vAlign w:val="center"/>
                </w:tcPr>
                <w:p w14:paraId="68505003">
                  <w:pPr>
                    <w:widowControl w:val="0"/>
                    <w:overflowPunct w:val="0"/>
                    <w:autoSpaceDE w:val="0"/>
                    <w:autoSpaceDN w:val="0"/>
                    <w:snapToGrid w:val="0"/>
                    <w:jc w:val="center"/>
                    <w:rPr>
                      <w:color w:val="auto"/>
                      <w:sz w:val="15"/>
                      <w:szCs w:val="15"/>
                      <w14:ligatures w14:val="standardContextual"/>
                    </w:rPr>
                  </w:pPr>
                </w:p>
              </w:tc>
              <w:tc>
                <w:tcPr>
                  <w:tcW w:w="710" w:type="dxa"/>
                  <w:vMerge w:val="continue"/>
                  <w:vAlign w:val="center"/>
                </w:tcPr>
                <w:p w14:paraId="6C1A6804">
                  <w:pPr>
                    <w:widowControl w:val="0"/>
                    <w:overflowPunct w:val="0"/>
                    <w:autoSpaceDE w:val="0"/>
                    <w:autoSpaceDN w:val="0"/>
                    <w:snapToGrid w:val="0"/>
                    <w:jc w:val="center"/>
                    <w:rPr>
                      <w:color w:val="auto"/>
                      <w:sz w:val="15"/>
                      <w:szCs w:val="15"/>
                      <w14:ligatures w14:val="standardContextual"/>
                    </w:rPr>
                  </w:pPr>
                </w:p>
              </w:tc>
            </w:tr>
            <w:tr w14:paraId="3CFCB6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01" w:type="dxa"/>
                  <w:vAlign w:val="center"/>
                </w:tcPr>
                <w:p w14:paraId="696A71B5">
                  <w:pPr>
                    <w:widowControl w:val="0"/>
                    <w:overflowPunct w:val="0"/>
                    <w:autoSpaceDE w:val="0"/>
                    <w:autoSpaceDN w:val="0"/>
                    <w:snapToGrid w:val="0"/>
                    <w:jc w:val="center"/>
                    <w:rPr>
                      <w:color w:val="auto"/>
                      <w:sz w:val="15"/>
                      <w:szCs w:val="15"/>
                      <w14:ligatures w14:val="standardContextual"/>
                    </w:rPr>
                  </w:pPr>
                  <w:r>
                    <w:rPr>
                      <w:rFonts w:hint="eastAsia"/>
                      <w:color w:val="auto"/>
                      <w:sz w:val="15"/>
                      <w:szCs w:val="15"/>
                      <w14:ligatures w14:val="standardContextual"/>
                    </w:rPr>
                    <w:t>1</w:t>
                  </w:r>
                </w:p>
              </w:tc>
              <w:tc>
                <w:tcPr>
                  <w:tcW w:w="321" w:type="dxa"/>
                  <w:vMerge w:val="restart"/>
                  <w:vAlign w:val="center"/>
                </w:tcPr>
                <w:p w14:paraId="33991A00">
                  <w:pPr>
                    <w:widowControl w:val="0"/>
                    <w:overflowPunct w:val="0"/>
                    <w:autoSpaceDE w:val="0"/>
                    <w:autoSpaceDN w:val="0"/>
                    <w:snapToGrid w:val="0"/>
                    <w:jc w:val="both"/>
                    <w:rPr>
                      <w:color w:val="auto"/>
                      <w:sz w:val="15"/>
                      <w:szCs w:val="15"/>
                      <w14:ligatures w14:val="standardContextual"/>
                    </w:rPr>
                  </w:pPr>
                  <w:r>
                    <w:rPr>
                      <w:rFonts w:hint="eastAsia"/>
                      <w:color w:val="auto"/>
                      <w:sz w:val="15"/>
                      <w:szCs w:val="15"/>
                      <w14:ligatures w14:val="standardContextual"/>
                    </w:rPr>
                    <w:t>锅炉房内</w:t>
                  </w:r>
                </w:p>
              </w:tc>
              <w:tc>
                <w:tcPr>
                  <w:tcW w:w="1561" w:type="dxa"/>
                  <w:noWrap/>
                  <w:vAlign w:val="center"/>
                </w:tcPr>
                <w:p w14:paraId="13874566">
                  <w:pPr>
                    <w:widowControl w:val="0"/>
                    <w:overflowPunct w:val="0"/>
                    <w:autoSpaceDE w:val="0"/>
                    <w:autoSpaceDN w:val="0"/>
                    <w:snapToGrid w:val="0"/>
                    <w:jc w:val="center"/>
                    <w:rPr>
                      <w:color w:val="auto"/>
                      <w:sz w:val="15"/>
                      <w:szCs w:val="15"/>
                      <w14:ligatures w14:val="standardContextual"/>
                    </w:rPr>
                  </w:pPr>
                  <w:r>
                    <w:rPr>
                      <w:rFonts w:hint="eastAsia"/>
                      <w:color w:val="auto"/>
                      <w:sz w:val="15"/>
                      <w:szCs w:val="15"/>
                      <w14:ligatures w14:val="standardContextual"/>
                    </w:rPr>
                    <w:t>锅炉本体</w:t>
                  </w:r>
                  <w:bookmarkStart w:id="221" w:name="OLE_LINK256"/>
                  <w:r>
                    <w:rPr>
                      <w:rFonts w:hint="eastAsia"/>
                      <w:color w:val="auto"/>
                      <w:sz w:val="15"/>
                      <w:szCs w:val="15"/>
                      <w14:ligatures w14:val="standardContextual"/>
                    </w:rPr>
                    <w:t>（4台）</w:t>
                  </w:r>
                  <w:bookmarkEnd w:id="221"/>
                </w:p>
              </w:tc>
              <w:tc>
                <w:tcPr>
                  <w:tcW w:w="567" w:type="dxa"/>
                  <w:vAlign w:val="center"/>
                </w:tcPr>
                <w:p w14:paraId="477E13E6">
                  <w:pPr>
                    <w:widowControl w:val="0"/>
                    <w:overflowPunct w:val="0"/>
                    <w:autoSpaceDE w:val="0"/>
                    <w:autoSpaceDN w:val="0"/>
                    <w:snapToGrid w:val="0"/>
                    <w:jc w:val="center"/>
                    <w:rPr>
                      <w:color w:val="auto"/>
                      <w:sz w:val="15"/>
                      <w:szCs w:val="15"/>
                      <w14:ligatures w14:val="standardContextual"/>
                    </w:rPr>
                  </w:pPr>
                  <w:r>
                    <w:rPr>
                      <w:rFonts w:hint="eastAsia"/>
                      <w:color w:val="auto"/>
                      <w:sz w:val="15"/>
                      <w:szCs w:val="15"/>
                      <w14:ligatures w14:val="standardContextual"/>
                    </w:rPr>
                    <w:t>80</w:t>
                  </w:r>
                </w:p>
              </w:tc>
              <w:tc>
                <w:tcPr>
                  <w:tcW w:w="602" w:type="dxa"/>
                  <w:vMerge w:val="restart"/>
                  <w:vAlign w:val="center"/>
                </w:tcPr>
                <w:p w14:paraId="4ACE4116">
                  <w:pPr>
                    <w:widowControl w:val="0"/>
                    <w:overflowPunct w:val="0"/>
                    <w:autoSpaceDE w:val="0"/>
                    <w:autoSpaceDN w:val="0"/>
                    <w:snapToGrid w:val="0"/>
                    <w:jc w:val="center"/>
                    <w:rPr>
                      <w:color w:val="auto"/>
                      <w:sz w:val="15"/>
                      <w:szCs w:val="15"/>
                      <w14:ligatures w14:val="standardContextual"/>
                    </w:rPr>
                  </w:pPr>
                  <w:r>
                    <w:rPr>
                      <w:rFonts w:hint="eastAsia"/>
                      <w:color w:val="auto"/>
                      <w:sz w:val="15"/>
                      <w:szCs w:val="15"/>
                      <w14:ligatures w14:val="standardContextual"/>
                    </w:rPr>
                    <w:t>消声、吸声、隔声、减震等</w:t>
                  </w:r>
                </w:p>
              </w:tc>
              <w:tc>
                <w:tcPr>
                  <w:tcW w:w="566" w:type="dxa"/>
                  <w:vAlign w:val="center"/>
                </w:tcPr>
                <w:p w14:paraId="65A3BD5C">
                  <w:pPr>
                    <w:widowControl w:val="0"/>
                    <w:overflowPunct w:val="0"/>
                    <w:autoSpaceDE w:val="0"/>
                    <w:autoSpaceDN w:val="0"/>
                    <w:snapToGrid w:val="0"/>
                    <w:jc w:val="center"/>
                    <w:rPr>
                      <w:color w:val="auto"/>
                      <w:sz w:val="15"/>
                      <w:szCs w:val="15"/>
                      <w14:ligatures w14:val="standardContextual"/>
                    </w:rPr>
                  </w:pPr>
                  <w:r>
                    <w:rPr>
                      <w:rFonts w:hint="eastAsia"/>
                      <w:color w:val="auto"/>
                      <w:sz w:val="15"/>
                      <w:szCs w:val="15"/>
                      <w14:ligatures w14:val="standardContextual"/>
                    </w:rPr>
                    <w:t>14</w:t>
                  </w:r>
                </w:p>
              </w:tc>
              <w:tc>
                <w:tcPr>
                  <w:tcW w:w="549" w:type="dxa"/>
                  <w:vAlign w:val="center"/>
                </w:tcPr>
                <w:p w14:paraId="55A4607E">
                  <w:pPr>
                    <w:widowControl w:val="0"/>
                    <w:overflowPunct w:val="0"/>
                    <w:autoSpaceDE w:val="0"/>
                    <w:autoSpaceDN w:val="0"/>
                    <w:snapToGrid w:val="0"/>
                    <w:jc w:val="center"/>
                    <w:rPr>
                      <w:color w:val="auto"/>
                      <w:sz w:val="15"/>
                      <w:szCs w:val="15"/>
                      <w14:ligatures w14:val="standardContextual"/>
                    </w:rPr>
                  </w:pPr>
                  <w:r>
                    <w:rPr>
                      <w:rFonts w:hint="eastAsia"/>
                      <w:color w:val="auto"/>
                      <w:sz w:val="15"/>
                      <w:szCs w:val="15"/>
                      <w14:ligatures w14:val="standardContextual"/>
                    </w:rPr>
                    <w:t>12</w:t>
                  </w:r>
                </w:p>
              </w:tc>
              <w:tc>
                <w:tcPr>
                  <w:tcW w:w="377" w:type="dxa"/>
                  <w:vAlign w:val="center"/>
                </w:tcPr>
                <w:p w14:paraId="1E169519">
                  <w:pPr>
                    <w:widowControl w:val="0"/>
                    <w:overflowPunct w:val="0"/>
                    <w:autoSpaceDE w:val="0"/>
                    <w:autoSpaceDN w:val="0"/>
                    <w:snapToGrid w:val="0"/>
                    <w:jc w:val="center"/>
                    <w:rPr>
                      <w:color w:val="auto"/>
                      <w:sz w:val="15"/>
                      <w:szCs w:val="15"/>
                      <w14:ligatures w14:val="standardContextual"/>
                    </w:rPr>
                  </w:pPr>
                  <w:r>
                    <w:rPr>
                      <w:rFonts w:hint="eastAsia"/>
                      <w:color w:val="auto"/>
                      <w:sz w:val="15"/>
                      <w:szCs w:val="15"/>
                      <w14:ligatures w14:val="standardContextual"/>
                    </w:rPr>
                    <w:t>0.2</w:t>
                  </w:r>
                </w:p>
              </w:tc>
              <w:tc>
                <w:tcPr>
                  <w:tcW w:w="638" w:type="dxa"/>
                  <w:vAlign w:val="center"/>
                </w:tcPr>
                <w:p w14:paraId="57ACA7A8">
                  <w:pPr>
                    <w:widowControl w:val="0"/>
                    <w:overflowPunct w:val="0"/>
                    <w:autoSpaceDE w:val="0"/>
                    <w:autoSpaceDN w:val="0"/>
                    <w:snapToGrid w:val="0"/>
                    <w:jc w:val="center"/>
                    <w:rPr>
                      <w:color w:val="auto"/>
                      <w:sz w:val="15"/>
                      <w:szCs w:val="15"/>
                      <w14:ligatures w14:val="standardContextual"/>
                    </w:rPr>
                  </w:pPr>
                  <w:r>
                    <w:rPr>
                      <w:rFonts w:hint="eastAsia"/>
                      <w:color w:val="auto"/>
                      <w:sz w:val="15"/>
                      <w:szCs w:val="15"/>
                      <w14:ligatures w14:val="standardContextual"/>
                    </w:rPr>
                    <w:t>5</w:t>
                  </w:r>
                </w:p>
              </w:tc>
              <w:tc>
                <w:tcPr>
                  <w:tcW w:w="675" w:type="dxa"/>
                  <w:vAlign w:val="top"/>
                </w:tcPr>
                <w:p w14:paraId="15A8AC07">
                  <w:pPr>
                    <w:widowControl w:val="0"/>
                    <w:overflowPunct w:val="0"/>
                    <w:autoSpaceDE w:val="0"/>
                    <w:autoSpaceDN w:val="0"/>
                    <w:snapToGrid w:val="0"/>
                    <w:jc w:val="center"/>
                    <w:rPr>
                      <w:color w:val="auto"/>
                      <w:sz w:val="15"/>
                      <w:szCs w:val="15"/>
                      <w14:ligatures w14:val="standardContextual"/>
                    </w:rPr>
                  </w:pPr>
                  <w:r>
                    <w:rPr>
                      <w:color w:val="auto"/>
                      <w:sz w:val="15"/>
                      <w:szCs w:val="15"/>
                      <w14:ligatures w14:val="standardContextual"/>
                    </w:rPr>
                    <w:t>66.0</w:t>
                  </w:r>
                </w:p>
              </w:tc>
              <w:tc>
                <w:tcPr>
                  <w:tcW w:w="486" w:type="dxa"/>
                  <w:vAlign w:val="center"/>
                </w:tcPr>
                <w:p w14:paraId="02DC53C6">
                  <w:pPr>
                    <w:widowControl w:val="0"/>
                    <w:overflowPunct w:val="0"/>
                    <w:autoSpaceDE w:val="0"/>
                    <w:autoSpaceDN w:val="0"/>
                    <w:snapToGrid w:val="0"/>
                    <w:jc w:val="center"/>
                    <w:rPr>
                      <w:color w:val="auto"/>
                      <w:sz w:val="15"/>
                      <w:szCs w:val="15"/>
                      <w14:ligatures w14:val="standardContextual"/>
                    </w:rPr>
                  </w:pPr>
                  <w:bookmarkStart w:id="222" w:name="OLE_LINK27"/>
                  <w:r>
                    <w:rPr>
                      <w:rFonts w:hint="eastAsia"/>
                      <w:color w:val="auto"/>
                      <w:sz w:val="15"/>
                      <w:szCs w:val="15"/>
                      <w14:ligatures w14:val="standardContextual"/>
                    </w:rPr>
                    <w:t>昼间</w:t>
                  </w:r>
                  <w:bookmarkEnd w:id="222"/>
                </w:p>
              </w:tc>
              <w:tc>
                <w:tcPr>
                  <w:tcW w:w="585" w:type="dxa"/>
                  <w:vAlign w:val="center"/>
                </w:tcPr>
                <w:p w14:paraId="5986947E">
                  <w:pPr>
                    <w:widowControl w:val="0"/>
                    <w:overflowPunct w:val="0"/>
                    <w:autoSpaceDE w:val="0"/>
                    <w:autoSpaceDN w:val="0"/>
                    <w:snapToGrid w:val="0"/>
                    <w:jc w:val="center"/>
                    <w:rPr>
                      <w:color w:val="auto"/>
                      <w:sz w:val="15"/>
                      <w:szCs w:val="15"/>
                      <w14:ligatures w14:val="standardContextual"/>
                    </w:rPr>
                  </w:pPr>
                  <w:r>
                    <w:rPr>
                      <w:rFonts w:hint="eastAsia"/>
                      <w:color w:val="auto"/>
                      <w:sz w:val="15"/>
                      <w:szCs w:val="15"/>
                      <w14:ligatures w14:val="standardContextual"/>
                    </w:rPr>
                    <w:t>30</w:t>
                  </w:r>
                </w:p>
              </w:tc>
              <w:tc>
                <w:tcPr>
                  <w:tcW w:w="710" w:type="dxa"/>
                  <w:vAlign w:val="top"/>
                </w:tcPr>
                <w:p w14:paraId="1AFB7D25">
                  <w:pPr>
                    <w:widowControl w:val="0"/>
                    <w:overflowPunct w:val="0"/>
                    <w:autoSpaceDE w:val="0"/>
                    <w:autoSpaceDN w:val="0"/>
                    <w:snapToGrid w:val="0"/>
                    <w:jc w:val="center"/>
                    <w:rPr>
                      <w:color w:val="auto"/>
                      <w:sz w:val="15"/>
                      <w:szCs w:val="15"/>
                      <w14:ligatures w14:val="standardContextual"/>
                    </w:rPr>
                  </w:pPr>
                  <w:r>
                    <w:rPr>
                      <w:color w:val="auto"/>
                      <w:sz w:val="15"/>
                      <w:szCs w:val="15"/>
                      <w14:ligatures w14:val="standardContextual"/>
                    </w:rPr>
                    <w:t xml:space="preserve">36.0 </w:t>
                  </w:r>
                </w:p>
              </w:tc>
            </w:tr>
            <w:tr w14:paraId="211764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01" w:type="dxa"/>
                  <w:vAlign w:val="center"/>
                </w:tcPr>
                <w:p w14:paraId="337279BE">
                  <w:pPr>
                    <w:widowControl w:val="0"/>
                    <w:overflowPunct w:val="0"/>
                    <w:autoSpaceDE w:val="0"/>
                    <w:autoSpaceDN w:val="0"/>
                    <w:snapToGrid w:val="0"/>
                    <w:jc w:val="center"/>
                    <w:rPr>
                      <w:color w:val="auto"/>
                      <w:sz w:val="15"/>
                      <w:szCs w:val="15"/>
                      <w14:ligatures w14:val="standardContextual"/>
                    </w:rPr>
                  </w:pPr>
                  <w:r>
                    <w:rPr>
                      <w:rFonts w:hint="eastAsia"/>
                      <w:color w:val="auto"/>
                      <w:sz w:val="15"/>
                      <w:szCs w:val="15"/>
                      <w14:ligatures w14:val="standardContextual"/>
                    </w:rPr>
                    <w:t>2</w:t>
                  </w:r>
                </w:p>
              </w:tc>
              <w:tc>
                <w:tcPr>
                  <w:tcW w:w="321" w:type="dxa"/>
                  <w:vMerge w:val="continue"/>
                  <w:vAlign w:val="center"/>
                </w:tcPr>
                <w:p w14:paraId="49B54F6E">
                  <w:pPr>
                    <w:widowControl w:val="0"/>
                    <w:overflowPunct w:val="0"/>
                    <w:autoSpaceDE w:val="0"/>
                    <w:autoSpaceDN w:val="0"/>
                    <w:snapToGrid w:val="0"/>
                    <w:jc w:val="center"/>
                    <w:rPr>
                      <w:color w:val="auto"/>
                      <w:sz w:val="15"/>
                      <w:szCs w:val="15"/>
                      <w14:ligatures w14:val="standardContextual"/>
                    </w:rPr>
                  </w:pPr>
                </w:p>
              </w:tc>
              <w:tc>
                <w:tcPr>
                  <w:tcW w:w="1561" w:type="dxa"/>
                  <w:noWrap/>
                  <w:vAlign w:val="top"/>
                </w:tcPr>
                <w:p w14:paraId="4BB50DE5">
                  <w:pPr>
                    <w:widowControl w:val="0"/>
                    <w:overflowPunct w:val="0"/>
                    <w:autoSpaceDE w:val="0"/>
                    <w:autoSpaceDN w:val="0"/>
                    <w:snapToGrid w:val="0"/>
                    <w:jc w:val="center"/>
                    <w:rPr>
                      <w:color w:val="auto"/>
                      <w:sz w:val="15"/>
                      <w:szCs w:val="15"/>
                      <w14:ligatures w14:val="standardContextual"/>
                    </w:rPr>
                  </w:pPr>
                  <w:r>
                    <w:rPr>
                      <w:rFonts w:hint="eastAsia"/>
                      <w:color w:val="auto"/>
                      <w:sz w:val="15"/>
                      <w:szCs w:val="15"/>
                      <w14:ligatures w14:val="standardContextual"/>
                    </w:rPr>
                    <w:t>鼓风机</w:t>
                  </w:r>
                  <w:bookmarkStart w:id="223" w:name="OLE_LINK257"/>
                  <w:r>
                    <w:rPr>
                      <w:rFonts w:hint="eastAsia"/>
                      <w:color w:val="auto"/>
                      <w:sz w:val="15"/>
                      <w:szCs w:val="15"/>
                      <w14:ligatures w14:val="standardContextual"/>
                    </w:rPr>
                    <w:t>（4台）</w:t>
                  </w:r>
                  <w:bookmarkEnd w:id="223"/>
                </w:p>
              </w:tc>
              <w:tc>
                <w:tcPr>
                  <w:tcW w:w="567" w:type="dxa"/>
                  <w:vAlign w:val="center"/>
                </w:tcPr>
                <w:p w14:paraId="7BE2E959">
                  <w:pPr>
                    <w:widowControl w:val="0"/>
                    <w:overflowPunct w:val="0"/>
                    <w:autoSpaceDE w:val="0"/>
                    <w:autoSpaceDN w:val="0"/>
                    <w:snapToGrid w:val="0"/>
                    <w:jc w:val="center"/>
                    <w:rPr>
                      <w:color w:val="auto"/>
                      <w:sz w:val="15"/>
                      <w:szCs w:val="15"/>
                      <w14:ligatures w14:val="standardContextual"/>
                    </w:rPr>
                  </w:pPr>
                  <w:r>
                    <w:rPr>
                      <w:rFonts w:hint="eastAsia"/>
                      <w:color w:val="auto"/>
                      <w:sz w:val="15"/>
                      <w:szCs w:val="15"/>
                      <w14:ligatures w14:val="standardContextual"/>
                    </w:rPr>
                    <w:t>90</w:t>
                  </w:r>
                </w:p>
              </w:tc>
              <w:tc>
                <w:tcPr>
                  <w:tcW w:w="602" w:type="dxa"/>
                  <w:vMerge w:val="continue"/>
                  <w:vAlign w:val="center"/>
                </w:tcPr>
                <w:p w14:paraId="4B1EEF65">
                  <w:pPr>
                    <w:widowControl w:val="0"/>
                    <w:overflowPunct w:val="0"/>
                    <w:autoSpaceDE w:val="0"/>
                    <w:autoSpaceDN w:val="0"/>
                    <w:snapToGrid w:val="0"/>
                    <w:jc w:val="center"/>
                    <w:rPr>
                      <w:color w:val="auto"/>
                      <w:sz w:val="15"/>
                      <w:szCs w:val="15"/>
                      <w14:ligatures w14:val="standardContextual"/>
                    </w:rPr>
                  </w:pPr>
                </w:p>
              </w:tc>
              <w:tc>
                <w:tcPr>
                  <w:tcW w:w="566" w:type="dxa"/>
                  <w:vAlign w:val="center"/>
                </w:tcPr>
                <w:p w14:paraId="7CD2DD77">
                  <w:pPr>
                    <w:widowControl w:val="0"/>
                    <w:overflowPunct w:val="0"/>
                    <w:autoSpaceDE w:val="0"/>
                    <w:autoSpaceDN w:val="0"/>
                    <w:snapToGrid w:val="0"/>
                    <w:jc w:val="center"/>
                    <w:rPr>
                      <w:color w:val="auto"/>
                      <w:sz w:val="15"/>
                      <w:szCs w:val="15"/>
                      <w14:ligatures w14:val="standardContextual"/>
                    </w:rPr>
                  </w:pPr>
                  <w:r>
                    <w:rPr>
                      <w:rFonts w:hint="eastAsia"/>
                      <w:color w:val="auto"/>
                      <w:sz w:val="15"/>
                      <w:szCs w:val="15"/>
                      <w14:ligatures w14:val="standardContextual"/>
                    </w:rPr>
                    <w:t>28</w:t>
                  </w:r>
                </w:p>
              </w:tc>
              <w:tc>
                <w:tcPr>
                  <w:tcW w:w="549" w:type="dxa"/>
                  <w:vAlign w:val="center"/>
                </w:tcPr>
                <w:p w14:paraId="40870E06">
                  <w:pPr>
                    <w:widowControl w:val="0"/>
                    <w:overflowPunct w:val="0"/>
                    <w:autoSpaceDE w:val="0"/>
                    <w:autoSpaceDN w:val="0"/>
                    <w:snapToGrid w:val="0"/>
                    <w:jc w:val="center"/>
                    <w:rPr>
                      <w:color w:val="auto"/>
                      <w:sz w:val="15"/>
                      <w:szCs w:val="15"/>
                      <w14:ligatures w14:val="standardContextual"/>
                    </w:rPr>
                  </w:pPr>
                  <w:r>
                    <w:rPr>
                      <w:rFonts w:hint="eastAsia"/>
                      <w:color w:val="auto"/>
                      <w:sz w:val="15"/>
                      <w:szCs w:val="15"/>
                      <w14:ligatures w14:val="standardContextual"/>
                    </w:rPr>
                    <w:t>14</w:t>
                  </w:r>
                </w:p>
              </w:tc>
              <w:tc>
                <w:tcPr>
                  <w:tcW w:w="377" w:type="dxa"/>
                  <w:vAlign w:val="center"/>
                </w:tcPr>
                <w:p w14:paraId="1831D652">
                  <w:pPr>
                    <w:widowControl w:val="0"/>
                    <w:overflowPunct w:val="0"/>
                    <w:autoSpaceDE w:val="0"/>
                    <w:autoSpaceDN w:val="0"/>
                    <w:snapToGrid w:val="0"/>
                    <w:jc w:val="center"/>
                    <w:rPr>
                      <w:color w:val="auto"/>
                      <w:sz w:val="15"/>
                      <w:szCs w:val="15"/>
                      <w14:ligatures w14:val="standardContextual"/>
                    </w:rPr>
                  </w:pPr>
                  <w:r>
                    <w:rPr>
                      <w:rFonts w:hint="eastAsia"/>
                      <w:color w:val="auto"/>
                      <w:sz w:val="15"/>
                      <w:szCs w:val="15"/>
                      <w14:ligatures w14:val="standardContextual"/>
                    </w:rPr>
                    <w:t>0.2</w:t>
                  </w:r>
                </w:p>
              </w:tc>
              <w:tc>
                <w:tcPr>
                  <w:tcW w:w="638" w:type="dxa"/>
                  <w:vAlign w:val="center"/>
                </w:tcPr>
                <w:p w14:paraId="1FCBEF5D">
                  <w:pPr>
                    <w:widowControl w:val="0"/>
                    <w:overflowPunct w:val="0"/>
                    <w:autoSpaceDE w:val="0"/>
                    <w:autoSpaceDN w:val="0"/>
                    <w:snapToGrid w:val="0"/>
                    <w:jc w:val="center"/>
                    <w:rPr>
                      <w:color w:val="auto"/>
                      <w:sz w:val="15"/>
                      <w:szCs w:val="15"/>
                      <w14:ligatures w14:val="standardContextual"/>
                    </w:rPr>
                  </w:pPr>
                  <w:r>
                    <w:rPr>
                      <w:rFonts w:hint="eastAsia"/>
                      <w:color w:val="auto"/>
                      <w:sz w:val="15"/>
                      <w:szCs w:val="15"/>
                      <w14:ligatures w14:val="standardContextual"/>
                    </w:rPr>
                    <w:t>2</w:t>
                  </w:r>
                </w:p>
              </w:tc>
              <w:tc>
                <w:tcPr>
                  <w:tcW w:w="675" w:type="dxa"/>
                  <w:vAlign w:val="top"/>
                </w:tcPr>
                <w:p w14:paraId="6DAA9282">
                  <w:pPr>
                    <w:widowControl w:val="0"/>
                    <w:overflowPunct w:val="0"/>
                    <w:autoSpaceDE w:val="0"/>
                    <w:autoSpaceDN w:val="0"/>
                    <w:snapToGrid w:val="0"/>
                    <w:jc w:val="center"/>
                    <w:rPr>
                      <w:color w:val="auto"/>
                      <w:sz w:val="15"/>
                      <w:szCs w:val="15"/>
                      <w14:ligatures w14:val="standardContextual"/>
                    </w:rPr>
                  </w:pPr>
                  <w:r>
                    <w:rPr>
                      <w:color w:val="auto"/>
                      <w:sz w:val="15"/>
                      <w:szCs w:val="15"/>
                      <w14:ligatures w14:val="standardContextual"/>
                    </w:rPr>
                    <w:t>84.0</w:t>
                  </w:r>
                </w:p>
              </w:tc>
              <w:tc>
                <w:tcPr>
                  <w:tcW w:w="486" w:type="dxa"/>
                  <w:vAlign w:val="top"/>
                </w:tcPr>
                <w:p w14:paraId="43C36942">
                  <w:pPr>
                    <w:widowControl w:val="0"/>
                    <w:overflowPunct w:val="0"/>
                    <w:autoSpaceDE w:val="0"/>
                    <w:autoSpaceDN w:val="0"/>
                    <w:snapToGrid w:val="0"/>
                    <w:jc w:val="center"/>
                    <w:rPr>
                      <w:color w:val="auto"/>
                      <w:sz w:val="15"/>
                      <w:szCs w:val="15"/>
                      <w14:ligatures w14:val="standardContextual"/>
                    </w:rPr>
                  </w:pPr>
                  <w:r>
                    <w:rPr>
                      <w:rFonts w:hint="eastAsia"/>
                      <w:color w:val="auto"/>
                      <w:sz w:val="15"/>
                      <w:szCs w:val="15"/>
                      <w14:ligatures w14:val="standardContextual"/>
                    </w:rPr>
                    <w:t>昼间</w:t>
                  </w:r>
                </w:p>
              </w:tc>
              <w:tc>
                <w:tcPr>
                  <w:tcW w:w="585" w:type="dxa"/>
                  <w:vAlign w:val="center"/>
                </w:tcPr>
                <w:p w14:paraId="3AA9CF56">
                  <w:pPr>
                    <w:widowControl w:val="0"/>
                    <w:overflowPunct w:val="0"/>
                    <w:autoSpaceDE w:val="0"/>
                    <w:autoSpaceDN w:val="0"/>
                    <w:snapToGrid w:val="0"/>
                    <w:jc w:val="center"/>
                    <w:rPr>
                      <w:color w:val="auto"/>
                      <w:sz w:val="15"/>
                      <w:szCs w:val="15"/>
                      <w14:ligatures w14:val="standardContextual"/>
                    </w:rPr>
                  </w:pPr>
                  <w:r>
                    <w:rPr>
                      <w:rFonts w:hint="eastAsia"/>
                      <w:color w:val="auto"/>
                      <w:sz w:val="15"/>
                      <w:szCs w:val="15"/>
                      <w14:ligatures w14:val="standardContextual"/>
                    </w:rPr>
                    <w:t>30</w:t>
                  </w:r>
                </w:p>
              </w:tc>
              <w:tc>
                <w:tcPr>
                  <w:tcW w:w="710" w:type="dxa"/>
                  <w:vAlign w:val="top"/>
                </w:tcPr>
                <w:p w14:paraId="1F83DF3A">
                  <w:pPr>
                    <w:widowControl w:val="0"/>
                    <w:overflowPunct w:val="0"/>
                    <w:autoSpaceDE w:val="0"/>
                    <w:autoSpaceDN w:val="0"/>
                    <w:snapToGrid w:val="0"/>
                    <w:jc w:val="center"/>
                    <w:rPr>
                      <w:color w:val="auto"/>
                      <w:sz w:val="15"/>
                      <w:szCs w:val="15"/>
                      <w14:ligatures w14:val="standardContextual"/>
                    </w:rPr>
                  </w:pPr>
                  <w:r>
                    <w:rPr>
                      <w:color w:val="auto"/>
                      <w:sz w:val="15"/>
                      <w:szCs w:val="15"/>
                      <w14:ligatures w14:val="standardContextual"/>
                    </w:rPr>
                    <w:t xml:space="preserve">54.0 </w:t>
                  </w:r>
                </w:p>
              </w:tc>
            </w:tr>
            <w:tr w14:paraId="1F79D3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01" w:type="dxa"/>
                  <w:vAlign w:val="center"/>
                </w:tcPr>
                <w:p w14:paraId="46047A0C">
                  <w:pPr>
                    <w:widowControl w:val="0"/>
                    <w:overflowPunct w:val="0"/>
                    <w:autoSpaceDE w:val="0"/>
                    <w:autoSpaceDN w:val="0"/>
                    <w:snapToGrid w:val="0"/>
                    <w:jc w:val="center"/>
                    <w:rPr>
                      <w:color w:val="auto"/>
                      <w:sz w:val="15"/>
                      <w:szCs w:val="15"/>
                      <w14:ligatures w14:val="standardContextual"/>
                    </w:rPr>
                  </w:pPr>
                  <w:r>
                    <w:rPr>
                      <w:rFonts w:hint="eastAsia"/>
                      <w:color w:val="auto"/>
                      <w:sz w:val="15"/>
                      <w:szCs w:val="15"/>
                      <w14:ligatures w14:val="standardContextual"/>
                    </w:rPr>
                    <w:t>3</w:t>
                  </w:r>
                </w:p>
              </w:tc>
              <w:tc>
                <w:tcPr>
                  <w:tcW w:w="321" w:type="dxa"/>
                  <w:vMerge w:val="continue"/>
                  <w:vAlign w:val="center"/>
                </w:tcPr>
                <w:p w14:paraId="34CB0769">
                  <w:pPr>
                    <w:widowControl w:val="0"/>
                    <w:overflowPunct w:val="0"/>
                    <w:autoSpaceDE w:val="0"/>
                    <w:autoSpaceDN w:val="0"/>
                    <w:snapToGrid w:val="0"/>
                    <w:jc w:val="center"/>
                    <w:rPr>
                      <w:color w:val="auto"/>
                      <w:sz w:val="15"/>
                      <w:szCs w:val="15"/>
                      <w14:ligatures w14:val="standardContextual"/>
                    </w:rPr>
                  </w:pPr>
                </w:p>
              </w:tc>
              <w:tc>
                <w:tcPr>
                  <w:tcW w:w="1561" w:type="dxa"/>
                  <w:noWrap/>
                  <w:vAlign w:val="top"/>
                </w:tcPr>
                <w:p w14:paraId="6BE813F2">
                  <w:pPr>
                    <w:widowControl w:val="0"/>
                    <w:overflowPunct w:val="0"/>
                    <w:autoSpaceDE w:val="0"/>
                    <w:autoSpaceDN w:val="0"/>
                    <w:snapToGrid w:val="0"/>
                    <w:jc w:val="center"/>
                    <w:rPr>
                      <w:color w:val="auto"/>
                      <w:sz w:val="15"/>
                      <w:szCs w:val="15"/>
                      <w14:ligatures w14:val="standardContextual"/>
                    </w:rPr>
                  </w:pPr>
                  <w:r>
                    <w:rPr>
                      <w:rFonts w:hint="eastAsia"/>
                      <w:color w:val="auto"/>
                      <w:sz w:val="15"/>
                      <w:szCs w:val="15"/>
                      <w14:ligatures w14:val="standardContextual"/>
                    </w:rPr>
                    <w:t>引风机（4台）</w:t>
                  </w:r>
                </w:p>
              </w:tc>
              <w:tc>
                <w:tcPr>
                  <w:tcW w:w="567" w:type="dxa"/>
                  <w:vAlign w:val="center"/>
                </w:tcPr>
                <w:p w14:paraId="41520BB9">
                  <w:pPr>
                    <w:widowControl w:val="0"/>
                    <w:overflowPunct w:val="0"/>
                    <w:autoSpaceDE w:val="0"/>
                    <w:autoSpaceDN w:val="0"/>
                    <w:snapToGrid w:val="0"/>
                    <w:jc w:val="center"/>
                    <w:rPr>
                      <w:color w:val="auto"/>
                      <w:sz w:val="15"/>
                      <w:szCs w:val="15"/>
                      <w14:ligatures w14:val="standardContextual"/>
                    </w:rPr>
                  </w:pPr>
                  <w:r>
                    <w:rPr>
                      <w:rFonts w:hint="eastAsia"/>
                      <w:color w:val="auto"/>
                      <w:sz w:val="15"/>
                      <w:szCs w:val="15"/>
                      <w14:ligatures w14:val="standardContextual"/>
                    </w:rPr>
                    <w:t>90</w:t>
                  </w:r>
                </w:p>
              </w:tc>
              <w:tc>
                <w:tcPr>
                  <w:tcW w:w="602" w:type="dxa"/>
                  <w:vMerge w:val="continue"/>
                  <w:vAlign w:val="center"/>
                </w:tcPr>
                <w:p w14:paraId="039885C3">
                  <w:pPr>
                    <w:widowControl w:val="0"/>
                    <w:overflowPunct w:val="0"/>
                    <w:autoSpaceDE w:val="0"/>
                    <w:autoSpaceDN w:val="0"/>
                    <w:snapToGrid w:val="0"/>
                    <w:jc w:val="center"/>
                    <w:rPr>
                      <w:color w:val="auto"/>
                      <w:sz w:val="15"/>
                      <w:szCs w:val="15"/>
                      <w14:ligatures w14:val="standardContextual"/>
                    </w:rPr>
                  </w:pPr>
                </w:p>
              </w:tc>
              <w:tc>
                <w:tcPr>
                  <w:tcW w:w="566" w:type="dxa"/>
                  <w:vAlign w:val="center"/>
                </w:tcPr>
                <w:p w14:paraId="0D503D3E">
                  <w:pPr>
                    <w:widowControl w:val="0"/>
                    <w:overflowPunct w:val="0"/>
                    <w:autoSpaceDE w:val="0"/>
                    <w:autoSpaceDN w:val="0"/>
                    <w:snapToGrid w:val="0"/>
                    <w:jc w:val="center"/>
                    <w:rPr>
                      <w:color w:val="auto"/>
                      <w:sz w:val="15"/>
                      <w:szCs w:val="15"/>
                      <w14:ligatures w14:val="standardContextual"/>
                    </w:rPr>
                  </w:pPr>
                  <w:r>
                    <w:rPr>
                      <w:color w:val="auto"/>
                      <w:sz w:val="15"/>
                      <w:szCs w:val="15"/>
                      <w14:ligatures w14:val="standardContextual"/>
                    </w:rPr>
                    <w:t>3</w:t>
                  </w:r>
                  <w:r>
                    <w:rPr>
                      <w:rFonts w:hint="eastAsia"/>
                      <w:color w:val="auto"/>
                      <w:sz w:val="15"/>
                      <w:szCs w:val="15"/>
                      <w14:ligatures w14:val="standardContextual"/>
                    </w:rPr>
                    <w:t>2</w:t>
                  </w:r>
                </w:p>
              </w:tc>
              <w:tc>
                <w:tcPr>
                  <w:tcW w:w="549" w:type="dxa"/>
                  <w:vAlign w:val="center"/>
                </w:tcPr>
                <w:p w14:paraId="5A4A3E3A">
                  <w:pPr>
                    <w:widowControl w:val="0"/>
                    <w:overflowPunct w:val="0"/>
                    <w:autoSpaceDE w:val="0"/>
                    <w:autoSpaceDN w:val="0"/>
                    <w:snapToGrid w:val="0"/>
                    <w:jc w:val="center"/>
                    <w:rPr>
                      <w:color w:val="auto"/>
                      <w:sz w:val="15"/>
                      <w:szCs w:val="15"/>
                      <w14:ligatures w14:val="standardContextual"/>
                    </w:rPr>
                  </w:pPr>
                  <w:r>
                    <w:rPr>
                      <w:rFonts w:hint="eastAsia"/>
                      <w:color w:val="auto"/>
                      <w:sz w:val="15"/>
                      <w:szCs w:val="15"/>
                      <w14:ligatures w14:val="standardContextual"/>
                    </w:rPr>
                    <w:t>10</w:t>
                  </w:r>
                </w:p>
              </w:tc>
              <w:tc>
                <w:tcPr>
                  <w:tcW w:w="377" w:type="dxa"/>
                  <w:vAlign w:val="center"/>
                </w:tcPr>
                <w:p w14:paraId="6D421494">
                  <w:pPr>
                    <w:widowControl w:val="0"/>
                    <w:overflowPunct w:val="0"/>
                    <w:autoSpaceDE w:val="0"/>
                    <w:autoSpaceDN w:val="0"/>
                    <w:snapToGrid w:val="0"/>
                    <w:jc w:val="center"/>
                    <w:rPr>
                      <w:color w:val="auto"/>
                      <w:sz w:val="15"/>
                      <w:szCs w:val="15"/>
                      <w14:ligatures w14:val="standardContextual"/>
                    </w:rPr>
                  </w:pPr>
                  <w:r>
                    <w:rPr>
                      <w:rFonts w:hint="eastAsia"/>
                      <w:color w:val="auto"/>
                      <w:sz w:val="15"/>
                      <w:szCs w:val="15"/>
                      <w14:ligatures w14:val="standardContextual"/>
                    </w:rPr>
                    <w:t>0.2</w:t>
                  </w:r>
                </w:p>
              </w:tc>
              <w:tc>
                <w:tcPr>
                  <w:tcW w:w="638" w:type="dxa"/>
                  <w:vAlign w:val="center"/>
                </w:tcPr>
                <w:p w14:paraId="2B811D89">
                  <w:pPr>
                    <w:widowControl w:val="0"/>
                    <w:overflowPunct w:val="0"/>
                    <w:autoSpaceDE w:val="0"/>
                    <w:autoSpaceDN w:val="0"/>
                    <w:snapToGrid w:val="0"/>
                    <w:jc w:val="center"/>
                    <w:rPr>
                      <w:color w:val="auto"/>
                      <w:sz w:val="15"/>
                      <w:szCs w:val="15"/>
                      <w14:ligatures w14:val="standardContextual"/>
                    </w:rPr>
                  </w:pPr>
                  <w:r>
                    <w:rPr>
                      <w:rFonts w:hint="eastAsia"/>
                      <w:color w:val="auto"/>
                      <w:sz w:val="15"/>
                      <w:szCs w:val="15"/>
                      <w14:ligatures w14:val="standardContextual"/>
                    </w:rPr>
                    <w:t>8</w:t>
                  </w:r>
                </w:p>
              </w:tc>
              <w:tc>
                <w:tcPr>
                  <w:tcW w:w="675" w:type="dxa"/>
                  <w:vAlign w:val="top"/>
                </w:tcPr>
                <w:p w14:paraId="1356D1F6">
                  <w:pPr>
                    <w:widowControl w:val="0"/>
                    <w:overflowPunct w:val="0"/>
                    <w:autoSpaceDE w:val="0"/>
                    <w:autoSpaceDN w:val="0"/>
                    <w:snapToGrid w:val="0"/>
                    <w:jc w:val="center"/>
                    <w:rPr>
                      <w:color w:val="auto"/>
                      <w:sz w:val="15"/>
                      <w:szCs w:val="15"/>
                      <w14:ligatures w14:val="standardContextual"/>
                    </w:rPr>
                  </w:pPr>
                  <w:r>
                    <w:rPr>
                      <w:color w:val="auto"/>
                      <w:sz w:val="15"/>
                      <w:szCs w:val="15"/>
                      <w14:ligatures w14:val="standardContextual"/>
                    </w:rPr>
                    <w:t>71.9</w:t>
                  </w:r>
                </w:p>
              </w:tc>
              <w:tc>
                <w:tcPr>
                  <w:tcW w:w="486" w:type="dxa"/>
                  <w:vAlign w:val="top"/>
                </w:tcPr>
                <w:p w14:paraId="04C17EE5">
                  <w:pPr>
                    <w:widowControl w:val="0"/>
                    <w:overflowPunct w:val="0"/>
                    <w:autoSpaceDE w:val="0"/>
                    <w:autoSpaceDN w:val="0"/>
                    <w:snapToGrid w:val="0"/>
                    <w:jc w:val="center"/>
                    <w:rPr>
                      <w:color w:val="auto"/>
                      <w:sz w:val="15"/>
                      <w:szCs w:val="15"/>
                      <w14:ligatures w14:val="standardContextual"/>
                    </w:rPr>
                  </w:pPr>
                  <w:r>
                    <w:rPr>
                      <w:rFonts w:hint="eastAsia"/>
                      <w:color w:val="auto"/>
                      <w:sz w:val="15"/>
                      <w:szCs w:val="15"/>
                      <w14:ligatures w14:val="standardContextual"/>
                    </w:rPr>
                    <w:t>昼间</w:t>
                  </w:r>
                </w:p>
              </w:tc>
              <w:tc>
                <w:tcPr>
                  <w:tcW w:w="585" w:type="dxa"/>
                  <w:vAlign w:val="center"/>
                </w:tcPr>
                <w:p w14:paraId="0E2DD755">
                  <w:pPr>
                    <w:widowControl w:val="0"/>
                    <w:overflowPunct w:val="0"/>
                    <w:autoSpaceDE w:val="0"/>
                    <w:autoSpaceDN w:val="0"/>
                    <w:snapToGrid w:val="0"/>
                    <w:jc w:val="center"/>
                    <w:rPr>
                      <w:color w:val="auto"/>
                      <w:sz w:val="15"/>
                      <w:szCs w:val="15"/>
                      <w14:ligatures w14:val="standardContextual"/>
                    </w:rPr>
                  </w:pPr>
                  <w:r>
                    <w:rPr>
                      <w:rFonts w:hint="eastAsia"/>
                      <w:color w:val="auto"/>
                      <w:sz w:val="15"/>
                      <w:szCs w:val="15"/>
                      <w14:ligatures w14:val="standardContextual"/>
                    </w:rPr>
                    <w:t>30</w:t>
                  </w:r>
                </w:p>
              </w:tc>
              <w:tc>
                <w:tcPr>
                  <w:tcW w:w="710" w:type="dxa"/>
                  <w:vAlign w:val="top"/>
                </w:tcPr>
                <w:p w14:paraId="0FAA9DF1">
                  <w:pPr>
                    <w:widowControl w:val="0"/>
                    <w:overflowPunct w:val="0"/>
                    <w:autoSpaceDE w:val="0"/>
                    <w:autoSpaceDN w:val="0"/>
                    <w:snapToGrid w:val="0"/>
                    <w:jc w:val="center"/>
                    <w:rPr>
                      <w:color w:val="auto"/>
                      <w:sz w:val="15"/>
                      <w:szCs w:val="15"/>
                      <w14:ligatures w14:val="standardContextual"/>
                    </w:rPr>
                  </w:pPr>
                  <w:r>
                    <w:rPr>
                      <w:color w:val="auto"/>
                      <w:sz w:val="15"/>
                      <w:szCs w:val="15"/>
                      <w14:ligatures w14:val="standardContextual"/>
                    </w:rPr>
                    <w:t xml:space="preserve">41.9 </w:t>
                  </w:r>
                </w:p>
              </w:tc>
            </w:tr>
            <w:tr w14:paraId="0D530B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01" w:type="dxa"/>
                  <w:vAlign w:val="center"/>
                </w:tcPr>
                <w:p w14:paraId="55DFB19F">
                  <w:pPr>
                    <w:widowControl w:val="0"/>
                    <w:overflowPunct w:val="0"/>
                    <w:autoSpaceDE w:val="0"/>
                    <w:autoSpaceDN w:val="0"/>
                    <w:snapToGrid w:val="0"/>
                    <w:jc w:val="center"/>
                    <w:rPr>
                      <w:color w:val="auto"/>
                      <w:sz w:val="15"/>
                      <w:szCs w:val="15"/>
                      <w14:ligatures w14:val="standardContextual"/>
                    </w:rPr>
                  </w:pPr>
                  <w:r>
                    <w:rPr>
                      <w:rFonts w:hint="eastAsia"/>
                      <w:color w:val="auto"/>
                      <w:sz w:val="15"/>
                      <w:szCs w:val="15"/>
                      <w14:ligatures w14:val="standardContextual"/>
                    </w:rPr>
                    <w:t>4</w:t>
                  </w:r>
                </w:p>
              </w:tc>
              <w:tc>
                <w:tcPr>
                  <w:tcW w:w="321" w:type="dxa"/>
                  <w:vMerge w:val="continue"/>
                  <w:vAlign w:val="center"/>
                </w:tcPr>
                <w:p w14:paraId="01AE03A9">
                  <w:pPr>
                    <w:widowControl w:val="0"/>
                    <w:overflowPunct w:val="0"/>
                    <w:autoSpaceDE w:val="0"/>
                    <w:autoSpaceDN w:val="0"/>
                    <w:snapToGrid w:val="0"/>
                    <w:jc w:val="center"/>
                    <w:rPr>
                      <w:color w:val="auto"/>
                      <w:sz w:val="15"/>
                      <w:szCs w:val="15"/>
                      <w14:ligatures w14:val="standardContextual"/>
                    </w:rPr>
                  </w:pPr>
                </w:p>
              </w:tc>
              <w:tc>
                <w:tcPr>
                  <w:tcW w:w="1561" w:type="dxa"/>
                  <w:noWrap/>
                  <w:vAlign w:val="top"/>
                </w:tcPr>
                <w:p w14:paraId="0BCF2BF6">
                  <w:pPr>
                    <w:widowControl w:val="0"/>
                    <w:overflowPunct w:val="0"/>
                    <w:autoSpaceDE w:val="0"/>
                    <w:autoSpaceDN w:val="0"/>
                    <w:snapToGrid w:val="0"/>
                    <w:jc w:val="center"/>
                    <w:rPr>
                      <w:color w:val="auto"/>
                      <w:sz w:val="15"/>
                      <w:szCs w:val="15"/>
                      <w14:ligatures w14:val="standardContextual"/>
                    </w:rPr>
                  </w:pPr>
                  <w:r>
                    <w:rPr>
                      <w:rFonts w:hint="eastAsia"/>
                      <w:color w:val="auto"/>
                      <w:sz w:val="15"/>
                      <w:szCs w:val="15"/>
                      <w14:ligatures w14:val="standardContextual"/>
                    </w:rPr>
                    <w:t>补水泵（8台）</w:t>
                  </w:r>
                </w:p>
              </w:tc>
              <w:tc>
                <w:tcPr>
                  <w:tcW w:w="567" w:type="dxa"/>
                  <w:vAlign w:val="center"/>
                </w:tcPr>
                <w:p w14:paraId="25D62D60">
                  <w:pPr>
                    <w:widowControl w:val="0"/>
                    <w:overflowPunct w:val="0"/>
                    <w:autoSpaceDE w:val="0"/>
                    <w:autoSpaceDN w:val="0"/>
                    <w:snapToGrid w:val="0"/>
                    <w:jc w:val="center"/>
                    <w:rPr>
                      <w:color w:val="auto"/>
                      <w:sz w:val="15"/>
                      <w:szCs w:val="15"/>
                      <w14:ligatures w14:val="standardContextual"/>
                    </w:rPr>
                  </w:pPr>
                  <w:r>
                    <w:rPr>
                      <w:rFonts w:hint="eastAsia"/>
                      <w:color w:val="auto"/>
                      <w:sz w:val="15"/>
                      <w:szCs w:val="15"/>
                      <w14:ligatures w14:val="standardContextual"/>
                    </w:rPr>
                    <w:t>85</w:t>
                  </w:r>
                </w:p>
              </w:tc>
              <w:tc>
                <w:tcPr>
                  <w:tcW w:w="602" w:type="dxa"/>
                  <w:vMerge w:val="continue"/>
                  <w:vAlign w:val="center"/>
                </w:tcPr>
                <w:p w14:paraId="24977E67">
                  <w:pPr>
                    <w:widowControl w:val="0"/>
                    <w:overflowPunct w:val="0"/>
                    <w:autoSpaceDE w:val="0"/>
                    <w:autoSpaceDN w:val="0"/>
                    <w:snapToGrid w:val="0"/>
                    <w:jc w:val="center"/>
                    <w:rPr>
                      <w:color w:val="auto"/>
                      <w:sz w:val="15"/>
                      <w:szCs w:val="15"/>
                      <w14:ligatures w14:val="standardContextual"/>
                    </w:rPr>
                  </w:pPr>
                </w:p>
              </w:tc>
              <w:tc>
                <w:tcPr>
                  <w:tcW w:w="566" w:type="dxa"/>
                  <w:vAlign w:val="center"/>
                </w:tcPr>
                <w:p w14:paraId="62D90B65">
                  <w:pPr>
                    <w:widowControl w:val="0"/>
                    <w:overflowPunct w:val="0"/>
                    <w:autoSpaceDE w:val="0"/>
                    <w:autoSpaceDN w:val="0"/>
                    <w:snapToGrid w:val="0"/>
                    <w:jc w:val="center"/>
                    <w:rPr>
                      <w:color w:val="auto"/>
                      <w:sz w:val="15"/>
                      <w:szCs w:val="15"/>
                      <w14:ligatures w14:val="standardContextual"/>
                    </w:rPr>
                  </w:pPr>
                  <w:r>
                    <w:rPr>
                      <w:color w:val="auto"/>
                      <w:sz w:val="15"/>
                      <w:szCs w:val="15"/>
                      <w14:ligatures w14:val="standardContextual"/>
                    </w:rPr>
                    <w:t>4</w:t>
                  </w:r>
                  <w:r>
                    <w:rPr>
                      <w:rFonts w:hint="eastAsia"/>
                      <w:color w:val="auto"/>
                      <w:sz w:val="15"/>
                      <w:szCs w:val="15"/>
                      <w14:ligatures w14:val="standardContextual"/>
                    </w:rPr>
                    <w:t>2</w:t>
                  </w:r>
                </w:p>
              </w:tc>
              <w:tc>
                <w:tcPr>
                  <w:tcW w:w="549" w:type="dxa"/>
                  <w:vAlign w:val="center"/>
                </w:tcPr>
                <w:p w14:paraId="3B971F4F">
                  <w:pPr>
                    <w:widowControl w:val="0"/>
                    <w:overflowPunct w:val="0"/>
                    <w:autoSpaceDE w:val="0"/>
                    <w:autoSpaceDN w:val="0"/>
                    <w:snapToGrid w:val="0"/>
                    <w:jc w:val="center"/>
                    <w:rPr>
                      <w:color w:val="auto"/>
                      <w:sz w:val="15"/>
                      <w:szCs w:val="15"/>
                      <w14:ligatures w14:val="standardContextual"/>
                    </w:rPr>
                  </w:pPr>
                  <w:r>
                    <w:rPr>
                      <w:rFonts w:hint="eastAsia"/>
                      <w:color w:val="auto"/>
                      <w:sz w:val="15"/>
                      <w:szCs w:val="15"/>
                      <w14:ligatures w14:val="standardContextual"/>
                    </w:rPr>
                    <w:t>8</w:t>
                  </w:r>
                </w:p>
              </w:tc>
              <w:tc>
                <w:tcPr>
                  <w:tcW w:w="377" w:type="dxa"/>
                  <w:vAlign w:val="center"/>
                </w:tcPr>
                <w:p w14:paraId="2F98F45D">
                  <w:pPr>
                    <w:widowControl w:val="0"/>
                    <w:overflowPunct w:val="0"/>
                    <w:autoSpaceDE w:val="0"/>
                    <w:autoSpaceDN w:val="0"/>
                    <w:snapToGrid w:val="0"/>
                    <w:jc w:val="center"/>
                    <w:rPr>
                      <w:color w:val="auto"/>
                      <w:sz w:val="15"/>
                      <w:szCs w:val="15"/>
                      <w14:ligatures w14:val="standardContextual"/>
                    </w:rPr>
                  </w:pPr>
                  <w:r>
                    <w:rPr>
                      <w:rFonts w:hint="eastAsia"/>
                      <w:color w:val="auto"/>
                      <w:sz w:val="15"/>
                      <w:szCs w:val="15"/>
                      <w14:ligatures w14:val="standardContextual"/>
                    </w:rPr>
                    <w:t>0.2</w:t>
                  </w:r>
                </w:p>
              </w:tc>
              <w:tc>
                <w:tcPr>
                  <w:tcW w:w="638" w:type="dxa"/>
                  <w:vAlign w:val="center"/>
                </w:tcPr>
                <w:p w14:paraId="43B53306">
                  <w:pPr>
                    <w:widowControl w:val="0"/>
                    <w:overflowPunct w:val="0"/>
                    <w:autoSpaceDE w:val="0"/>
                    <w:autoSpaceDN w:val="0"/>
                    <w:snapToGrid w:val="0"/>
                    <w:jc w:val="center"/>
                    <w:rPr>
                      <w:color w:val="auto"/>
                      <w:sz w:val="15"/>
                      <w:szCs w:val="15"/>
                      <w14:ligatures w14:val="standardContextual"/>
                    </w:rPr>
                  </w:pPr>
                  <w:r>
                    <w:rPr>
                      <w:rFonts w:hint="eastAsia"/>
                      <w:color w:val="auto"/>
                      <w:sz w:val="15"/>
                      <w:szCs w:val="15"/>
                      <w14:ligatures w14:val="standardContextual"/>
                    </w:rPr>
                    <w:t>5</w:t>
                  </w:r>
                </w:p>
              </w:tc>
              <w:tc>
                <w:tcPr>
                  <w:tcW w:w="675" w:type="dxa"/>
                  <w:vAlign w:val="top"/>
                </w:tcPr>
                <w:p w14:paraId="19733F87">
                  <w:pPr>
                    <w:widowControl w:val="0"/>
                    <w:overflowPunct w:val="0"/>
                    <w:autoSpaceDE w:val="0"/>
                    <w:autoSpaceDN w:val="0"/>
                    <w:snapToGrid w:val="0"/>
                    <w:jc w:val="center"/>
                    <w:rPr>
                      <w:color w:val="auto"/>
                      <w:sz w:val="15"/>
                      <w:szCs w:val="15"/>
                      <w14:ligatures w14:val="standardContextual"/>
                    </w:rPr>
                  </w:pPr>
                  <w:r>
                    <w:rPr>
                      <w:color w:val="auto"/>
                      <w:sz w:val="15"/>
                      <w:szCs w:val="15"/>
                      <w14:ligatures w14:val="standardContextual"/>
                    </w:rPr>
                    <w:t>71.0</w:t>
                  </w:r>
                </w:p>
              </w:tc>
              <w:tc>
                <w:tcPr>
                  <w:tcW w:w="486" w:type="dxa"/>
                  <w:vAlign w:val="top"/>
                </w:tcPr>
                <w:p w14:paraId="7558E96B">
                  <w:pPr>
                    <w:widowControl w:val="0"/>
                    <w:overflowPunct w:val="0"/>
                    <w:autoSpaceDE w:val="0"/>
                    <w:autoSpaceDN w:val="0"/>
                    <w:snapToGrid w:val="0"/>
                    <w:jc w:val="center"/>
                    <w:rPr>
                      <w:color w:val="auto"/>
                      <w:sz w:val="15"/>
                      <w:szCs w:val="15"/>
                      <w14:ligatures w14:val="standardContextual"/>
                    </w:rPr>
                  </w:pPr>
                  <w:r>
                    <w:rPr>
                      <w:rFonts w:hint="eastAsia"/>
                      <w:color w:val="auto"/>
                      <w:sz w:val="15"/>
                      <w:szCs w:val="15"/>
                      <w14:ligatures w14:val="standardContextual"/>
                    </w:rPr>
                    <w:t>昼间</w:t>
                  </w:r>
                </w:p>
              </w:tc>
              <w:tc>
                <w:tcPr>
                  <w:tcW w:w="585" w:type="dxa"/>
                  <w:vAlign w:val="center"/>
                </w:tcPr>
                <w:p w14:paraId="6EFFA3BB">
                  <w:pPr>
                    <w:widowControl w:val="0"/>
                    <w:overflowPunct w:val="0"/>
                    <w:autoSpaceDE w:val="0"/>
                    <w:autoSpaceDN w:val="0"/>
                    <w:snapToGrid w:val="0"/>
                    <w:jc w:val="center"/>
                    <w:rPr>
                      <w:color w:val="auto"/>
                      <w:sz w:val="15"/>
                      <w:szCs w:val="15"/>
                      <w14:ligatures w14:val="standardContextual"/>
                    </w:rPr>
                  </w:pPr>
                  <w:r>
                    <w:rPr>
                      <w:rFonts w:hint="eastAsia"/>
                      <w:color w:val="auto"/>
                      <w:sz w:val="15"/>
                      <w:szCs w:val="15"/>
                      <w14:ligatures w14:val="standardContextual"/>
                    </w:rPr>
                    <w:t>30</w:t>
                  </w:r>
                </w:p>
              </w:tc>
              <w:tc>
                <w:tcPr>
                  <w:tcW w:w="710" w:type="dxa"/>
                  <w:vAlign w:val="top"/>
                </w:tcPr>
                <w:p w14:paraId="6039327F">
                  <w:pPr>
                    <w:widowControl w:val="0"/>
                    <w:overflowPunct w:val="0"/>
                    <w:autoSpaceDE w:val="0"/>
                    <w:autoSpaceDN w:val="0"/>
                    <w:snapToGrid w:val="0"/>
                    <w:jc w:val="center"/>
                    <w:rPr>
                      <w:color w:val="auto"/>
                      <w:sz w:val="15"/>
                      <w:szCs w:val="15"/>
                      <w14:ligatures w14:val="standardContextual"/>
                    </w:rPr>
                  </w:pPr>
                  <w:r>
                    <w:rPr>
                      <w:color w:val="auto"/>
                      <w:sz w:val="15"/>
                      <w:szCs w:val="15"/>
                      <w14:ligatures w14:val="standardContextual"/>
                    </w:rPr>
                    <w:t xml:space="preserve">41.0 </w:t>
                  </w:r>
                </w:p>
              </w:tc>
            </w:tr>
            <w:tr w14:paraId="6E88F6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01" w:type="dxa"/>
                  <w:vAlign w:val="center"/>
                </w:tcPr>
                <w:p w14:paraId="45F987C0">
                  <w:pPr>
                    <w:widowControl w:val="0"/>
                    <w:overflowPunct w:val="0"/>
                    <w:autoSpaceDE w:val="0"/>
                    <w:autoSpaceDN w:val="0"/>
                    <w:snapToGrid w:val="0"/>
                    <w:jc w:val="center"/>
                    <w:rPr>
                      <w:color w:val="auto"/>
                      <w:sz w:val="15"/>
                      <w:szCs w:val="15"/>
                      <w14:ligatures w14:val="standardContextual"/>
                    </w:rPr>
                  </w:pPr>
                  <w:r>
                    <w:rPr>
                      <w:rFonts w:hint="eastAsia"/>
                      <w:color w:val="auto"/>
                      <w:sz w:val="15"/>
                      <w:szCs w:val="15"/>
                      <w14:ligatures w14:val="standardContextual"/>
                    </w:rPr>
                    <w:t>5</w:t>
                  </w:r>
                </w:p>
              </w:tc>
              <w:tc>
                <w:tcPr>
                  <w:tcW w:w="321" w:type="dxa"/>
                  <w:vMerge w:val="continue"/>
                  <w:vAlign w:val="center"/>
                </w:tcPr>
                <w:p w14:paraId="10D9B263">
                  <w:pPr>
                    <w:widowControl w:val="0"/>
                    <w:overflowPunct w:val="0"/>
                    <w:autoSpaceDE w:val="0"/>
                    <w:autoSpaceDN w:val="0"/>
                    <w:snapToGrid w:val="0"/>
                    <w:jc w:val="center"/>
                    <w:rPr>
                      <w:color w:val="auto"/>
                      <w:sz w:val="15"/>
                      <w:szCs w:val="15"/>
                      <w14:ligatures w14:val="standardContextual"/>
                    </w:rPr>
                  </w:pPr>
                </w:p>
              </w:tc>
              <w:tc>
                <w:tcPr>
                  <w:tcW w:w="1561" w:type="dxa"/>
                  <w:noWrap/>
                  <w:vAlign w:val="top"/>
                </w:tcPr>
                <w:p w14:paraId="0A9D2715">
                  <w:pPr>
                    <w:widowControl w:val="0"/>
                    <w:overflowPunct w:val="0"/>
                    <w:autoSpaceDE w:val="0"/>
                    <w:autoSpaceDN w:val="0"/>
                    <w:snapToGrid w:val="0"/>
                    <w:jc w:val="center"/>
                    <w:rPr>
                      <w:color w:val="auto"/>
                      <w:sz w:val="15"/>
                      <w:szCs w:val="15"/>
                      <w14:ligatures w14:val="standardContextual"/>
                    </w:rPr>
                  </w:pPr>
                  <w:r>
                    <w:rPr>
                      <w:rFonts w:hint="eastAsia"/>
                      <w:color w:val="auto"/>
                      <w:sz w:val="15"/>
                      <w:szCs w:val="15"/>
                      <w14:ligatures w14:val="standardContextual"/>
                    </w:rPr>
                    <w:t>出渣机（4台）</w:t>
                  </w:r>
                </w:p>
              </w:tc>
              <w:tc>
                <w:tcPr>
                  <w:tcW w:w="567" w:type="dxa"/>
                  <w:vAlign w:val="center"/>
                </w:tcPr>
                <w:p w14:paraId="49F0FD10">
                  <w:pPr>
                    <w:widowControl w:val="0"/>
                    <w:overflowPunct w:val="0"/>
                    <w:autoSpaceDE w:val="0"/>
                    <w:autoSpaceDN w:val="0"/>
                    <w:snapToGrid w:val="0"/>
                    <w:jc w:val="center"/>
                    <w:rPr>
                      <w:color w:val="auto"/>
                      <w:sz w:val="15"/>
                      <w:szCs w:val="15"/>
                      <w14:ligatures w14:val="standardContextual"/>
                    </w:rPr>
                  </w:pPr>
                  <w:r>
                    <w:rPr>
                      <w:rFonts w:hint="eastAsia"/>
                      <w:color w:val="auto"/>
                      <w:sz w:val="15"/>
                      <w:szCs w:val="15"/>
                      <w14:ligatures w14:val="standardContextual"/>
                    </w:rPr>
                    <w:t>85</w:t>
                  </w:r>
                </w:p>
              </w:tc>
              <w:tc>
                <w:tcPr>
                  <w:tcW w:w="602" w:type="dxa"/>
                  <w:vMerge w:val="continue"/>
                  <w:vAlign w:val="center"/>
                </w:tcPr>
                <w:p w14:paraId="3D291DA3">
                  <w:pPr>
                    <w:widowControl w:val="0"/>
                    <w:overflowPunct w:val="0"/>
                    <w:autoSpaceDE w:val="0"/>
                    <w:autoSpaceDN w:val="0"/>
                    <w:snapToGrid w:val="0"/>
                    <w:jc w:val="center"/>
                    <w:rPr>
                      <w:color w:val="auto"/>
                      <w:sz w:val="15"/>
                      <w:szCs w:val="15"/>
                      <w14:ligatures w14:val="standardContextual"/>
                    </w:rPr>
                  </w:pPr>
                </w:p>
              </w:tc>
              <w:tc>
                <w:tcPr>
                  <w:tcW w:w="566" w:type="dxa"/>
                  <w:vAlign w:val="center"/>
                </w:tcPr>
                <w:p w14:paraId="6D62D359">
                  <w:pPr>
                    <w:widowControl w:val="0"/>
                    <w:overflowPunct w:val="0"/>
                    <w:autoSpaceDE w:val="0"/>
                    <w:autoSpaceDN w:val="0"/>
                    <w:snapToGrid w:val="0"/>
                    <w:jc w:val="center"/>
                    <w:rPr>
                      <w:color w:val="auto"/>
                      <w:sz w:val="15"/>
                      <w:szCs w:val="15"/>
                      <w14:ligatures w14:val="standardContextual"/>
                    </w:rPr>
                  </w:pPr>
                  <w:r>
                    <w:rPr>
                      <w:color w:val="auto"/>
                      <w:sz w:val="15"/>
                      <w:szCs w:val="15"/>
                      <w14:ligatures w14:val="standardContextual"/>
                    </w:rPr>
                    <w:t>62</w:t>
                  </w:r>
                </w:p>
              </w:tc>
              <w:tc>
                <w:tcPr>
                  <w:tcW w:w="549" w:type="dxa"/>
                  <w:vAlign w:val="center"/>
                </w:tcPr>
                <w:p w14:paraId="0352F512">
                  <w:pPr>
                    <w:widowControl w:val="0"/>
                    <w:overflowPunct w:val="0"/>
                    <w:autoSpaceDE w:val="0"/>
                    <w:autoSpaceDN w:val="0"/>
                    <w:snapToGrid w:val="0"/>
                    <w:jc w:val="center"/>
                    <w:rPr>
                      <w:color w:val="auto"/>
                      <w:sz w:val="15"/>
                      <w:szCs w:val="15"/>
                      <w14:ligatures w14:val="standardContextual"/>
                    </w:rPr>
                  </w:pPr>
                  <w:r>
                    <w:rPr>
                      <w:color w:val="auto"/>
                      <w:sz w:val="15"/>
                      <w:szCs w:val="15"/>
                      <w14:ligatures w14:val="standardContextual"/>
                    </w:rPr>
                    <w:t>3</w:t>
                  </w:r>
                </w:p>
              </w:tc>
              <w:tc>
                <w:tcPr>
                  <w:tcW w:w="377" w:type="dxa"/>
                  <w:vAlign w:val="center"/>
                </w:tcPr>
                <w:p w14:paraId="20907135">
                  <w:pPr>
                    <w:widowControl w:val="0"/>
                    <w:overflowPunct w:val="0"/>
                    <w:autoSpaceDE w:val="0"/>
                    <w:autoSpaceDN w:val="0"/>
                    <w:snapToGrid w:val="0"/>
                    <w:jc w:val="center"/>
                    <w:rPr>
                      <w:color w:val="auto"/>
                      <w:sz w:val="15"/>
                      <w:szCs w:val="15"/>
                      <w14:ligatures w14:val="standardContextual"/>
                    </w:rPr>
                  </w:pPr>
                  <w:r>
                    <w:rPr>
                      <w:rFonts w:hint="eastAsia"/>
                      <w:color w:val="auto"/>
                      <w:sz w:val="15"/>
                      <w:szCs w:val="15"/>
                      <w14:ligatures w14:val="standardContextual"/>
                    </w:rPr>
                    <w:t>0.2</w:t>
                  </w:r>
                </w:p>
              </w:tc>
              <w:tc>
                <w:tcPr>
                  <w:tcW w:w="638" w:type="dxa"/>
                  <w:vAlign w:val="center"/>
                </w:tcPr>
                <w:p w14:paraId="08A7BB27">
                  <w:pPr>
                    <w:widowControl w:val="0"/>
                    <w:overflowPunct w:val="0"/>
                    <w:autoSpaceDE w:val="0"/>
                    <w:autoSpaceDN w:val="0"/>
                    <w:snapToGrid w:val="0"/>
                    <w:jc w:val="center"/>
                    <w:rPr>
                      <w:color w:val="auto"/>
                      <w:sz w:val="15"/>
                      <w:szCs w:val="15"/>
                      <w14:ligatures w14:val="standardContextual"/>
                    </w:rPr>
                  </w:pPr>
                  <w:r>
                    <w:rPr>
                      <w:rFonts w:hint="eastAsia"/>
                      <w:color w:val="auto"/>
                      <w:sz w:val="15"/>
                      <w:szCs w:val="15"/>
                      <w14:ligatures w14:val="standardContextual"/>
                    </w:rPr>
                    <w:t>3</w:t>
                  </w:r>
                </w:p>
              </w:tc>
              <w:tc>
                <w:tcPr>
                  <w:tcW w:w="675" w:type="dxa"/>
                  <w:vAlign w:val="top"/>
                </w:tcPr>
                <w:p w14:paraId="25C3728E">
                  <w:pPr>
                    <w:widowControl w:val="0"/>
                    <w:overflowPunct w:val="0"/>
                    <w:autoSpaceDE w:val="0"/>
                    <w:autoSpaceDN w:val="0"/>
                    <w:snapToGrid w:val="0"/>
                    <w:jc w:val="center"/>
                    <w:rPr>
                      <w:color w:val="auto"/>
                      <w:sz w:val="15"/>
                      <w:szCs w:val="15"/>
                      <w14:ligatures w14:val="standardContextual"/>
                    </w:rPr>
                  </w:pPr>
                  <w:r>
                    <w:rPr>
                      <w:color w:val="auto"/>
                      <w:sz w:val="15"/>
                      <w:szCs w:val="15"/>
                      <w14:ligatures w14:val="standardContextual"/>
                    </w:rPr>
                    <w:t>75.5</w:t>
                  </w:r>
                </w:p>
              </w:tc>
              <w:tc>
                <w:tcPr>
                  <w:tcW w:w="486" w:type="dxa"/>
                  <w:vAlign w:val="top"/>
                </w:tcPr>
                <w:p w14:paraId="560E6B94">
                  <w:pPr>
                    <w:widowControl w:val="0"/>
                    <w:overflowPunct w:val="0"/>
                    <w:autoSpaceDE w:val="0"/>
                    <w:autoSpaceDN w:val="0"/>
                    <w:snapToGrid w:val="0"/>
                    <w:jc w:val="center"/>
                    <w:rPr>
                      <w:color w:val="auto"/>
                      <w:sz w:val="15"/>
                      <w:szCs w:val="15"/>
                      <w14:ligatures w14:val="standardContextual"/>
                    </w:rPr>
                  </w:pPr>
                  <w:r>
                    <w:rPr>
                      <w:rFonts w:hint="eastAsia"/>
                      <w:color w:val="auto"/>
                      <w:sz w:val="15"/>
                      <w:szCs w:val="15"/>
                      <w14:ligatures w14:val="standardContextual"/>
                    </w:rPr>
                    <w:t>昼间</w:t>
                  </w:r>
                </w:p>
              </w:tc>
              <w:tc>
                <w:tcPr>
                  <w:tcW w:w="585" w:type="dxa"/>
                  <w:vAlign w:val="center"/>
                </w:tcPr>
                <w:p w14:paraId="0241FD3D">
                  <w:pPr>
                    <w:widowControl w:val="0"/>
                    <w:overflowPunct w:val="0"/>
                    <w:autoSpaceDE w:val="0"/>
                    <w:autoSpaceDN w:val="0"/>
                    <w:snapToGrid w:val="0"/>
                    <w:jc w:val="center"/>
                    <w:rPr>
                      <w:color w:val="auto"/>
                      <w:sz w:val="15"/>
                      <w:szCs w:val="15"/>
                      <w14:ligatures w14:val="standardContextual"/>
                    </w:rPr>
                  </w:pPr>
                  <w:r>
                    <w:rPr>
                      <w:rFonts w:hint="eastAsia"/>
                      <w:color w:val="auto"/>
                      <w:sz w:val="15"/>
                      <w:szCs w:val="15"/>
                      <w14:ligatures w14:val="standardContextual"/>
                    </w:rPr>
                    <w:t>30</w:t>
                  </w:r>
                </w:p>
              </w:tc>
              <w:tc>
                <w:tcPr>
                  <w:tcW w:w="710" w:type="dxa"/>
                  <w:vAlign w:val="top"/>
                </w:tcPr>
                <w:p w14:paraId="389CB2ED">
                  <w:pPr>
                    <w:widowControl w:val="0"/>
                    <w:overflowPunct w:val="0"/>
                    <w:autoSpaceDE w:val="0"/>
                    <w:autoSpaceDN w:val="0"/>
                    <w:snapToGrid w:val="0"/>
                    <w:jc w:val="center"/>
                    <w:rPr>
                      <w:color w:val="auto"/>
                      <w:sz w:val="15"/>
                      <w:szCs w:val="15"/>
                      <w14:ligatures w14:val="standardContextual"/>
                    </w:rPr>
                  </w:pPr>
                  <w:r>
                    <w:rPr>
                      <w:color w:val="auto"/>
                      <w:sz w:val="15"/>
                      <w:szCs w:val="15"/>
                      <w14:ligatures w14:val="standardContextual"/>
                    </w:rPr>
                    <w:t xml:space="preserve">45.5 </w:t>
                  </w:r>
                </w:p>
              </w:tc>
            </w:tr>
            <w:tr w14:paraId="38E0B0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01" w:type="dxa"/>
                  <w:vAlign w:val="center"/>
                </w:tcPr>
                <w:p w14:paraId="67B0BCFC">
                  <w:pPr>
                    <w:widowControl w:val="0"/>
                    <w:overflowPunct w:val="0"/>
                    <w:autoSpaceDE w:val="0"/>
                    <w:autoSpaceDN w:val="0"/>
                    <w:snapToGrid w:val="0"/>
                    <w:jc w:val="center"/>
                    <w:rPr>
                      <w:color w:val="auto"/>
                      <w:sz w:val="15"/>
                      <w:szCs w:val="15"/>
                      <w14:ligatures w14:val="standardContextual"/>
                    </w:rPr>
                  </w:pPr>
                  <w:r>
                    <w:rPr>
                      <w:rFonts w:hint="eastAsia"/>
                      <w:color w:val="auto"/>
                      <w:sz w:val="15"/>
                      <w:szCs w:val="15"/>
                      <w14:ligatures w14:val="standardContextual"/>
                    </w:rPr>
                    <w:t>7</w:t>
                  </w:r>
                </w:p>
              </w:tc>
              <w:tc>
                <w:tcPr>
                  <w:tcW w:w="321" w:type="dxa"/>
                  <w:vMerge w:val="continue"/>
                  <w:vAlign w:val="center"/>
                </w:tcPr>
                <w:p w14:paraId="024F021E">
                  <w:pPr>
                    <w:widowControl w:val="0"/>
                    <w:overflowPunct w:val="0"/>
                    <w:autoSpaceDE w:val="0"/>
                    <w:autoSpaceDN w:val="0"/>
                    <w:snapToGrid w:val="0"/>
                    <w:jc w:val="center"/>
                    <w:rPr>
                      <w:color w:val="auto"/>
                      <w:sz w:val="15"/>
                      <w:szCs w:val="15"/>
                      <w14:ligatures w14:val="standardContextual"/>
                    </w:rPr>
                  </w:pPr>
                </w:p>
              </w:tc>
              <w:tc>
                <w:tcPr>
                  <w:tcW w:w="1561" w:type="dxa"/>
                  <w:noWrap/>
                  <w:vAlign w:val="top"/>
                </w:tcPr>
                <w:p w14:paraId="2C10E1F6">
                  <w:pPr>
                    <w:widowControl w:val="0"/>
                    <w:overflowPunct w:val="0"/>
                    <w:autoSpaceDE w:val="0"/>
                    <w:autoSpaceDN w:val="0"/>
                    <w:snapToGrid w:val="0"/>
                    <w:jc w:val="center"/>
                    <w:rPr>
                      <w:color w:val="auto"/>
                      <w:sz w:val="15"/>
                      <w:szCs w:val="15"/>
                      <w14:ligatures w14:val="standardContextual"/>
                    </w:rPr>
                  </w:pPr>
                  <w:r>
                    <w:rPr>
                      <w:rFonts w:hint="eastAsia"/>
                      <w:color w:val="auto"/>
                      <w:sz w:val="15"/>
                      <w:szCs w:val="15"/>
                      <w14:ligatures w14:val="standardContextual"/>
                    </w:rPr>
                    <w:t>除氧水泵（4台）</w:t>
                  </w:r>
                </w:p>
              </w:tc>
              <w:tc>
                <w:tcPr>
                  <w:tcW w:w="567" w:type="dxa"/>
                  <w:vAlign w:val="center"/>
                </w:tcPr>
                <w:p w14:paraId="1EB96287">
                  <w:pPr>
                    <w:widowControl w:val="0"/>
                    <w:overflowPunct w:val="0"/>
                    <w:autoSpaceDE w:val="0"/>
                    <w:autoSpaceDN w:val="0"/>
                    <w:snapToGrid w:val="0"/>
                    <w:jc w:val="center"/>
                    <w:rPr>
                      <w:color w:val="auto"/>
                      <w:sz w:val="15"/>
                      <w:szCs w:val="15"/>
                      <w14:ligatures w14:val="standardContextual"/>
                    </w:rPr>
                  </w:pPr>
                  <w:r>
                    <w:rPr>
                      <w:rFonts w:hint="eastAsia"/>
                      <w:color w:val="auto"/>
                      <w:sz w:val="15"/>
                      <w:szCs w:val="15"/>
                      <w14:ligatures w14:val="standardContextual"/>
                    </w:rPr>
                    <w:t>85</w:t>
                  </w:r>
                </w:p>
              </w:tc>
              <w:tc>
                <w:tcPr>
                  <w:tcW w:w="602" w:type="dxa"/>
                  <w:vMerge w:val="continue"/>
                  <w:vAlign w:val="center"/>
                </w:tcPr>
                <w:p w14:paraId="49059C73">
                  <w:pPr>
                    <w:widowControl w:val="0"/>
                    <w:overflowPunct w:val="0"/>
                    <w:autoSpaceDE w:val="0"/>
                    <w:autoSpaceDN w:val="0"/>
                    <w:snapToGrid w:val="0"/>
                    <w:jc w:val="center"/>
                    <w:rPr>
                      <w:color w:val="auto"/>
                      <w:sz w:val="15"/>
                      <w:szCs w:val="15"/>
                      <w14:ligatures w14:val="standardContextual"/>
                    </w:rPr>
                  </w:pPr>
                </w:p>
              </w:tc>
              <w:tc>
                <w:tcPr>
                  <w:tcW w:w="566" w:type="dxa"/>
                  <w:vAlign w:val="center"/>
                </w:tcPr>
                <w:p w14:paraId="774FC596">
                  <w:pPr>
                    <w:widowControl w:val="0"/>
                    <w:overflowPunct w:val="0"/>
                    <w:autoSpaceDE w:val="0"/>
                    <w:autoSpaceDN w:val="0"/>
                    <w:snapToGrid w:val="0"/>
                    <w:jc w:val="center"/>
                    <w:rPr>
                      <w:color w:val="auto"/>
                      <w:sz w:val="15"/>
                      <w:szCs w:val="15"/>
                      <w14:ligatures w14:val="standardContextual"/>
                    </w:rPr>
                  </w:pPr>
                  <w:r>
                    <w:rPr>
                      <w:rFonts w:hint="eastAsia"/>
                      <w:color w:val="auto"/>
                      <w:sz w:val="15"/>
                      <w:szCs w:val="15"/>
                      <w14:ligatures w14:val="standardContextual"/>
                    </w:rPr>
                    <w:t>12</w:t>
                  </w:r>
                </w:p>
              </w:tc>
              <w:tc>
                <w:tcPr>
                  <w:tcW w:w="549" w:type="dxa"/>
                  <w:vAlign w:val="center"/>
                </w:tcPr>
                <w:p w14:paraId="4A5BF537">
                  <w:pPr>
                    <w:widowControl w:val="0"/>
                    <w:overflowPunct w:val="0"/>
                    <w:autoSpaceDE w:val="0"/>
                    <w:autoSpaceDN w:val="0"/>
                    <w:snapToGrid w:val="0"/>
                    <w:jc w:val="center"/>
                    <w:rPr>
                      <w:color w:val="auto"/>
                      <w:sz w:val="15"/>
                      <w:szCs w:val="15"/>
                      <w14:ligatures w14:val="standardContextual"/>
                    </w:rPr>
                  </w:pPr>
                  <w:r>
                    <w:rPr>
                      <w:rFonts w:hint="eastAsia"/>
                      <w:color w:val="auto"/>
                      <w:sz w:val="15"/>
                      <w:szCs w:val="15"/>
                      <w14:ligatures w14:val="standardContextual"/>
                    </w:rPr>
                    <w:t>8</w:t>
                  </w:r>
                </w:p>
              </w:tc>
              <w:tc>
                <w:tcPr>
                  <w:tcW w:w="377" w:type="dxa"/>
                  <w:vAlign w:val="center"/>
                </w:tcPr>
                <w:p w14:paraId="44DB2435">
                  <w:pPr>
                    <w:widowControl w:val="0"/>
                    <w:overflowPunct w:val="0"/>
                    <w:autoSpaceDE w:val="0"/>
                    <w:autoSpaceDN w:val="0"/>
                    <w:snapToGrid w:val="0"/>
                    <w:jc w:val="center"/>
                    <w:rPr>
                      <w:color w:val="auto"/>
                      <w:sz w:val="15"/>
                      <w:szCs w:val="15"/>
                      <w14:ligatures w14:val="standardContextual"/>
                    </w:rPr>
                  </w:pPr>
                  <w:r>
                    <w:rPr>
                      <w:rFonts w:hint="eastAsia"/>
                      <w:color w:val="auto"/>
                      <w:sz w:val="15"/>
                      <w:szCs w:val="15"/>
                      <w14:ligatures w14:val="standardContextual"/>
                    </w:rPr>
                    <w:t>0.2</w:t>
                  </w:r>
                </w:p>
              </w:tc>
              <w:tc>
                <w:tcPr>
                  <w:tcW w:w="638" w:type="dxa"/>
                  <w:vAlign w:val="center"/>
                </w:tcPr>
                <w:p w14:paraId="3FAAF323">
                  <w:pPr>
                    <w:widowControl w:val="0"/>
                    <w:overflowPunct w:val="0"/>
                    <w:autoSpaceDE w:val="0"/>
                    <w:autoSpaceDN w:val="0"/>
                    <w:snapToGrid w:val="0"/>
                    <w:jc w:val="center"/>
                    <w:rPr>
                      <w:color w:val="auto"/>
                      <w:sz w:val="15"/>
                      <w:szCs w:val="15"/>
                      <w14:ligatures w14:val="standardContextual"/>
                    </w:rPr>
                  </w:pPr>
                  <w:r>
                    <w:rPr>
                      <w:rFonts w:hint="eastAsia"/>
                      <w:color w:val="auto"/>
                      <w:sz w:val="15"/>
                      <w:szCs w:val="15"/>
                      <w14:ligatures w14:val="standardContextual"/>
                    </w:rPr>
                    <w:t>4</w:t>
                  </w:r>
                </w:p>
              </w:tc>
              <w:tc>
                <w:tcPr>
                  <w:tcW w:w="675" w:type="dxa"/>
                  <w:vAlign w:val="top"/>
                </w:tcPr>
                <w:p w14:paraId="1C3E6686">
                  <w:pPr>
                    <w:widowControl w:val="0"/>
                    <w:overflowPunct w:val="0"/>
                    <w:autoSpaceDE w:val="0"/>
                    <w:autoSpaceDN w:val="0"/>
                    <w:snapToGrid w:val="0"/>
                    <w:jc w:val="center"/>
                    <w:rPr>
                      <w:color w:val="auto"/>
                      <w:sz w:val="15"/>
                      <w:szCs w:val="15"/>
                      <w14:ligatures w14:val="standardContextual"/>
                    </w:rPr>
                  </w:pPr>
                  <w:r>
                    <w:rPr>
                      <w:color w:val="auto"/>
                      <w:sz w:val="15"/>
                      <w:szCs w:val="15"/>
                      <w14:ligatures w14:val="standardContextual"/>
                    </w:rPr>
                    <w:t>73.0</w:t>
                  </w:r>
                </w:p>
              </w:tc>
              <w:tc>
                <w:tcPr>
                  <w:tcW w:w="486" w:type="dxa"/>
                  <w:vAlign w:val="top"/>
                </w:tcPr>
                <w:p w14:paraId="20EFF03C">
                  <w:pPr>
                    <w:widowControl w:val="0"/>
                    <w:overflowPunct w:val="0"/>
                    <w:autoSpaceDE w:val="0"/>
                    <w:autoSpaceDN w:val="0"/>
                    <w:snapToGrid w:val="0"/>
                    <w:jc w:val="center"/>
                    <w:rPr>
                      <w:color w:val="auto"/>
                      <w:sz w:val="15"/>
                      <w:szCs w:val="15"/>
                      <w14:ligatures w14:val="standardContextual"/>
                    </w:rPr>
                  </w:pPr>
                  <w:r>
                    <w:rPr>
                      <w:rFonts w:hint="eastAsia"/>
                      <w:color w:val="auto"/>
                      <w:sz w:val="15"/>
                      <w:szCs w:val="15"/>
                      <w14:ligatures w14:val="standardContextual"/>
                    </w:rPr>
                    <w:t>昼间</w:t>
                  </w:r>
                </w:p>
              </w:tc>
              <w:tc>
                <w:tcPr>
                  <w:tcW w:w="585" w:type="dxa"/>
                  <w:vAlign w:val="center"/>
                </w:tcPr>
                <w:p w14:paraId="2FDFE133">
                  <w:pPr>
                    <w:widowControl w:val="0"/>
                    <w:overflowPunct w:val="0"/>
                    <w:autoSpaceDE w:val="0"/>
                    <w:autoSpaceDN w:val="0"/>
                    <w:snapToGrid w:val="0"/>
                    <w:jc w:val="center"/>
                    <w:rPr>
                      <w:color w:val="auto"/>
                      <w:sz w:val="15"/>
                      <w:szCs w:val="15"/>
                      <w14:ligatures w14:val="standardContextual"/>
                    </w:rPr>
                  </w:pPr>
                  <w:r>
                    <w:rPr>
                      <w:rFonts w:hint="eastAsia"/>
                      <w:color w:val="auto"/>
                      <w:sz w:val="15"/>
                      <w:szCs w:val="15"/>
                      <w14:ligatures w14:val="standardContextual"/>
                    </w:rPr>
                    <w:t>30</w:t>
                  </w:r>
                </w:p>
              </w:tc>
              <w:tc>
                <w:tcPr>
                  <w:tcW w:w="710" w:type="dxa"/>
                  <w:vAlign w:val="top"/>
                </w:tcPr>
                <w:p w14:paraId="3ACF2C3B">
                  <w:pPr>
                    <w:widowControl w:val="0"/>
                    <w:overflowPunct w:val="0"/>
                    <w:autoSpaceDE w:val="0"/>
                    <w:autoSpaceDN w:val="0"/>
                    <w:snapToGrid w:val="0"/>
                    <w:jc w:val="center"/>
                    <w:rPr>
                      <w:color w:val="auto"/>
                      <w:sz w:val="15"/>
                      <w:szCs w:val="15"/>
                      <w14:ligatures w14:val="standardContextual"/>
                    </w:rPr>
                  </w:pPr>
                  <w:r>
                    <w:rPr>
                      <w:color w:val="auto"/>
                      <w:sz w:val="15"/>
                      <w:szCs w:val="15"/>
                      <w14:ligatures w14:val="standardContextual"/>
                    </w:rPr>
                    <w:t xml:space="preserve">43.0 </w:t>
                  </w:r>
                </w:p>
              </w:tc>
            </w:tr>
          </w:tbl>
          <w:p w14:paraId="3C6022E6">
            <w:pPr>
              <w:pStyle w:val="66"/>
              <w:spacing w:after="120"/>
              <w:rPr>
                <w:color w:val="auto"/>
              </w:rPr>
            </w:pPr>
            <w:r>
              <w:rPr>
                <w:rFonts w:hint="eastAsia"/>
                <w:color w:val="auto"/>
              </w:rPr>
              <w:t>注：以正西南角为原点（0，0），距室内边界取设备中心区离所在建筑物边界的最近距离。本项目日运行12h，8：00至20：00，夜间不生产。</w:t>
            </w:r>
          </w:p>
          <w:p w14:paraId="37C2A45D">
            <w:pPr>
              <w:pStyle w:val="52"/>
              <w:rPr>
                <w:color w:val="auto"/>
              </w:rPr>
            </w:pPr>
            <w:r>
              <w:rPr>
                <w:rFonts w:hint="eastAsia"/>
                <w:color w:val="auto"/>
              </w:rPr>
              <w:t>（2）预测模式</w:t>
            </w:r>
          </w:p>
          <w:p w14:paraId="4128686A">
            <w:pPr>
              <w:pStyle w:val="3"/>
              <w:ind w:firstLine="480"/>
              <w:rPr>
                <w:color w:val="auto"/>
              </w:rPr>
            </w:pPr>
            <w:r>
              <w:rPr>
                <w:rFonts w:hint="eastAsia"/>
                <w:color w:val="auto"/>
              </w:rPr>
              <w:t>依据声源的分布规律及预测点与声源之间的距离，把噪声源简化成点声源，依据已获得的声学数据，利用《环境影响的评价技术导则声环境》（HJ2.4-2021）中推荐的预测模式分别计算各声源对厂界的贡献值。</w:t>
            </w:r>
          </w:p>
          <w:p w14:paraId="463A822D">
            <w:pPr>
              <w:pStyle w:val="3"/>
              <w:ind w:firstLine="480"/>
              <w:rPr>
                <w:color w:val="auto"/>
              </w:rPr>
            </w:pPr>
            <w:r>
              <w:rPr>
                <w:rFonts w:hint="eastAsia"/>
                <w:color w:val="auto"/>
              </w:rPr>
              <w:t>1）声级计算</w:t>
            </w:r>
          </w:p>
          <w:p w14:paraId="4DA0BFC1">
            <w:pPr>
              <w:pStyle w:val="3"/>
              <w:ind w:firstLine="480"/>
              <w:rPr>
                <w:color w:val="auto"/>
              </w:rPr>
            </w:pPr>
            <w:r>
              <w:rPr>
                <w:rFonts w:hint="eastAsia"/>
                <w:color w:val="auto"/>
              </w:rPr>
              <w:t>建设项目声源在预测点产生的等效声级贡献值(L</w:t>
            </w:r>
            <w:r>
              <w:rPr>
                <w:rFonts w:hint="eastAsia"/>
                <w:color w:val="auto"/>
                <w:vertAlign w:val="subscript"/>
              </w:rPr>
              <w:t>eqg</w:t>
            </w:r>
            <w:r>
              <w:rPr>
                <w:rFonts w:hint="eastAsia"/>
                <w:color w:val="auto"/>
              </w:rPr>
              <w:t>）计算公式：</w:t>
            </w:r>
          </w:p>
          <w:p w14:paraId="2AE92CED">
            <w:pPr>
              <w:pStyle w:val="51"/>
              <w:rPr>
                <w:color w:val="auto"/>
              </w:rPr>
            </w:pPr>
            <w:r>
              <w:rPr>
                <w:color w:val="auto"/>
              </w:rPr>
              <w:drawing>
                <wp:inline distT="0" distB="0" distL="0" distR="0">
                  <wp:extent cx="1977390" cy="359410"/>
                  <wp:effectExtent l="0" t="0" r="3810" b="2540"/>
                  <wp:docPr id="164339065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390658" name="图片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977672" cy="360000"/>
                          </a:xfrm>
                          <a:prstGeom prst="rect">
                            <a:avLst/>
                          </a:prstGeom>
                          <a:noFill/>
                          <a:ln>
                            <a:noFill/>
                          </a:ln>
                        </pic:spPr>
                      </pic:pic>
                    </a:graphicData>
                  </a:graphic>
                </wp:inline>
              </w:drawing>
            </w:r>
          </w:p>
          <w:p w14:paraId="4E6D4375">
            <w:pPr>
              <w:pStyle w:val="3"/>
              <w:ind w:firstLine="480"/>
              <w:rPr>
                <w:color w:val="auto"/>
              </w:rPr>
            </w:pPr>
            <w:r>
              <w:rPr>
                <w:rFonts w:hint="eastAsia"/>
                <w:color w:val="auto"/>
              </w:rPr>
              <w:t>式中：</w:t>
            </w:r>
          </w:p>
          <w:p w14:paraId="50C1C4A8">
            <w:pPr>
              <w:pStyle w:val="3"/>
              <w:ind w:firstLine="480"/>
              <w:rPr>
                <w:color w:val="auto"/>
              </w:rPr>
            </w:pPr>
            <w:r>
              <w:rPr>
                <w:rFonts w:hint="eastAsia"/>
                <w:color w:val="auto"/>
              </w:rPr>
              <w:t>L</w:t>
            </w:r>
            <w:r>
              <w:rPr>
                <w:rFonts w:hint="eastAsia"/>
                <w:color w:val="auto"/>
                <w:vertAlign w:val="subscript"/>
              </w:rPr>
              <w:t>eqg</w:t>
            </w:r>
            <w:r>
              <w:rPr>
                <w:rFonts w:hint="eastAsia"/>
                <w:color w:val="auto"/>
              </w:rPr>
              <w:t>：建设项目声源在预测点的等效声级贡献值，dB(A）；</w:t>
            </w:r>
          </w:p>
          <w:p w14:paraId="34A2431D">
            <w:pPr>
              <w:pStyle w:val="3"/>
              <w:ind w:firstLine="480"/>
              <w:rPr>
                <w:color w:val="auto"/>
              </w:rPr>
            </w:pPr>
            <w:r>
              <w:rPr>
                <w:rFonts w:hint="eastAsia"/>
                <w:color w:val="auto"/>
              </w:rPr>
              <w:t>L</w:t>
            </w:r>
            <w:r>
              <w:rPr>
                <w:rFonts w:hint="eastAsia"/>
                <w:color w:val="auto"/>
                <w:vertAlign w:val="subscript"/>
              </w:rPr>
              <w:t>Ai</w:t>
            </w:r>
            <w:r>
              <w:rPr>
                <w:rFonts w:hint="eastAsia"/>
                <w:color w:val="auto"/>
              </w:rPr>
              <w:t>：i声源在预测点产生的A声级，dB(A）；</w:t>
            </w:r>
          </w:p>
          <w:p w14:paraId="4FF58075">
            <w:pPr>
              <w:pStyle w:val="3"/>
              <w:ind w:firstLine="480"/>
              <w:rPr>
                <w:color w:val="auto"/>
              </w:rPr>
            </w:pPr>
            <w:r>
              <w:rPr>
                <w:rFonts w:hint="eastAsia"/>
                <w:color w:val="auto"/>
              </w:rPr>
              <w:t>T：预测计算的时间段，s；</w:t>
            </w:r>
          </w:p>
          <w:p w14:paraId="184DE8F0">
            <w:pPr>
              <w:pStyle w:val="3"/>
              <w:ind w:firstLine="480"/>
              <w:rPr>
                <w:color w:val="auto"/>
              </w:rPr>
            </w:pPr>
            <w:r>
              <w:rPr>
                <w:rFonts w:hint="eastAsia"/>
                <w:color w:val="auto"/>
              </w:rPr>
              <w:t>t</w:t>
            </w:r>
            <w:r>
              <w:rPr>
                <w:rFonts w:hint="eastAsia"/>
                <w:color w:val="auto"/>
                <w:vertAlign w:val="subscript"/>
              </w:rPr>
              <w:t>i</w:t>
            </w:r>
            <w:r>
              <w:rPr>
                <w:rFonts w:hint="eastAsia"/>
                <w:color w:val="auto"/>
              </w:rPr>
              <w:t>：i声源在T时段内的运行时间，s。</w:t>
            </w:r>
          </w:p>
          <w:p w14:paraId="7FEE1042">
            <w:pPr>
              <w:pStyle w:val="3"/>
              <w:ind w:firstLine="480"/>
              <w:rPr>
                <w:color w:val="auto"/>
              </w:rPr>
            </w:pPr>
            <w:r>
              <w:rPr>
                <w:rFonts w:hint="eastAsia"/>
                <w:color w:val="auto"/>
              </w:rPr>
              <w:t>2）预测点的预测等效声级(Leq）计算公式</w:t>
            </w:r>
          </w:p>
          <w:p w14:paraId="6AF2A258">
            <w:pPr>
              <w:pStyle w:val="51"/>
              <w:rPr>
                <w:color w:val="auto"/>
              </w:rPr>
            </w:pPr>
            <w:r>
              <w:rPr>
                <w:color w:val="auto"/>
              </w:rPr>
              <w:drawing>
                <wp:inline distT="0" distB="0" distL="0" distR="0">
                  <wp:extent cx="2009140" cy="359410"/>
                  <wp:effectExtent l="0" t="0" r="0" b="2540"/>
                  <wp:docPr id="16524010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401019" name="图片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009402" cy="360000"/>
                          </a:xfrm>
                          <a:prstGeom prst="rect">
                            <a:avLst/>
                          </a:prstGeom>
                          <a:noFill/>
                          <a:ln>
                            <a:noFill/>
                          </a:ln>
                        </pic:spPr>
                      </pic:pic>
                    </a:graphicData>
                  </a:graphic>
                </wp:inline>
              </w:drawing>
            </w:r>
          </w:p>
          <w:p w14:paraId="794AF93C">
            <w:pPr>
              <w:pStyle w:val="3"/>
              <w:ind w:firstLine="480"/>
              <w:rPr>
                <w:color w:val="auto"/>
              </w:rPr>
            </w:pPr>
            <w:r>
              <w:rPr>
                <w:rFonts w:hint="eastAsia"/>
                <w:color w:val="auto"/>
              </w:rPr>
              <w:t>式中：</w:t>
            </w:r>
          </w:p>
          <w:p w14:paraId="4C4868F5">
            <w:pPr>
              <w:pStyle w:val="3"/>
              <w:ind w:firstLine="480"/>
              <w:rPr>
                <w:color w:val="auto"/>
              </w:rPr>
            </w:pPr>
            <w:r>
              <w:rPr>
                <w:rFonts w:hint="eastAsia"/>
                <w:color w:val="auto"/>
              </w:rPr>
              <w:t>L</w:t>
            </w:r>
            <w:r>
              <w:rPr>
                <w:rFonts w:hint="eastAsia"/>
                <w:color w:val="auto"/>
                <w:vertAlign w:val="subscript"/>
              </w:rPr>
              <w:t>eqg</w:t>
            </w:r>
            <w:r>
              <w:rPr>
                <w:rFonts w:hint="eastAsia"/>
                <w:color w:val="auto"/>
              </w:rPr>
              <w:t>：建设项目声源在预测点的等效声级贡献值，dB(A）；</w:t>
            </w:r>
          </w:p>
          <w:p w14:paraId="10EF6A14">
            <w:pPr>
              <w:pStyle w:val="3"/>
              <w:ind w:firstLine="480"/>
              <w:rPr>
                <w:color w:val="auto"/>
              </w:rPr>
            </w:pPr>
            <w:r>
              <w:rPr>
                <w:rFonts w:hint="eastAsia"/>
                <w:color w:val="auto"/>
              </w:rPr>
              <w:t>L</w:t>
            </w:r>
            <w:r>
              <w:rPr>
                <w:rFonts w:hint="eastAsia"/>
                <w:color w:val="auto"/>
                <w:vertAlign w:val="subscript"/>
              </w:rPr>
              <w:t>eqb</w:t>
            </w:r>
            <w:r>
              <w:rPr>
                <w:rFonts w:hint="eastAsia"/>
                <w:color w:val="auto"/>
              </w:rPr>
              <w:t>：预测点的背景值，dB(A）；</w:t>
            </w:r>
          </w:p>
          <w:p w14:paraId="4BC54A65">
            <w:pPr>
              <w:pStyle w:val="3"/>
              <w:ind w:firstLine="480"/>
              <w:rPr>
                <w:color w:val="auto"/>
              </w:rPr>
            </w:pPr>
            <w:r>
              <w:rPr>
                <w:rFonts w:hint="eastAsia"/>
                <w:color w:val="auto"/>
              </w:rPr>
              <w:t>3）户外声传播衰减计算公式；</w:t>
            </w:r>
          </w:p>
          <w:p w14:paraId="6AC3E951">
            <w:pPr>
              <w:pStyle w:val="3"/>
              <w:ind w:firstLine="480"/>
              <w:rPr>
                <w:color w:val="auto"/>
              </w:rPr>
            </w:pPr>
            <w:r>
              <w:rPr>
                <w:rFonts w:hint="eastAsia"/>
                <w:color w:val="auto"/>
              </w:rPr>
              <w:t>户外声传播衰减包括几何发散（A</w:t>
            </w:r>
            <w:r>
              <w:rPr>
                <w:rFonts w:hint="eastAsia"/>
                <w:color w:val="auto"/>
                <w:vertAlign w:val="subscript"/>
              </w:rPr>
              <w:t>div</w:t>
            </w:r>
            <w:r>
              <w:rPr>
                <w:rFonts w:hint="eastAsia"/>
                <w:color w:val="auto"/>
              </w:rPr>
              <w:t>）、大气吸收（A</w:t>
            </w:r>
            <w:r>
              <w:rPr>
                <w:rFonts w:hint="eastAsia"/>
                <w:color w:val="auto"/>
                <w:vertAlign w:val="subscript"/>
              </w:rPr>
              <w:t>atm</w:t>
            </w:r>
            <w:r>
              <w:rPr>
                <w:rFonts w:hint="eastAsia"/>
                <w:color w:val="auto"/>
              </w:rPr>
              <w:t>）、地面效应（A</w:t>
            </w:r>
            <w:r>
              <w:rPr>
                <w:rFonts w:hint="eastAsia"/>
                <w:color w:val="auto"/>
                <w:vertAlign w:val="subscript"/>
              </w:rPr>
              <w:t>gr</w:t>
            </w:r>
            <w:r>
              <w:rPr>
                <w:rFonts w:hint="eastAsia"/>
                <w:color w:val="auto"/>
              </w:rPr>
              <w:t>）、屏障屏蔽（A</w:t>
            </w:r>
            <w:r>
              <w:rPr>
                <w:rFonts w:hint="eastAsia"/>
                <w:color w:val="auto"/>
                <w:vertAlign w:val="subscript"/>
              </w:rPr>
              <w:t>bar</w:t>
            </w:r>
            <w:r>
              <w:rPr>
                <w:rFonts w:hint="eastAsia"/>
                <w:color w:val="auto"/>
              </w:rPr>
              <w:t>）、其他多方面效应（A</w:t>
            </w:r>
            <w:r>
              <w:rPr>
                <w:rFonts w:hint="eastAsia"/>
                <w:color w:val="auto"/>
                <w:vertAlign w:val="subscript"/>
              </w:rPr>
              <w:t>misc</w:t>
            </w:r>
            <w:r>
              <w:rPr>
                <w:rFonts w:hint="eastAsia"/>
                <w:color w:val="auto"/>
              </w:rPr>
              <w:t>）引起的衰减。</w:t>
            </w:r>
          </w:p>
          <w:p w14:paraId="78DAC674">
            <w:pPr>
              <w:pStyle w:val="3"/>
              <w:ind w:firstLine="480"/>
              <w:rPr>
                <w:color w:val="auto"/>
              </w:rPr>
            </w:pPr>
            <w:r>
              <w:rPr>
                <w:rFonts w:hint="eastAsia"/>
                <w:color w:val="auto"/>
              </w:rPr>
              <w:t>距声源点r处的A声级按下式计算：</w:t>
            </w:r>
          </w:p>
          <w:p w14:paraId="7BFC3DE8">
            <w:pPr>
              <w:pStyle w:val="51"/>
              <w:rPr>
                <w:color w:val="auto"/>
              </w:rPr>
            </w:pPr>
            <w:r>
              <w:rPr>
                <w:color w:val="auto"/>
              </w:rPr>
              <w:drawing>
                <wp:inline distT="0" distB="0" distL="0" distR="0">
                  <wp:extent cx="2736850" cy="359410"/>
                  <wp:effectExtent l="0" t="0" r="0" b="2540"/>
                  <wp:docPr id="6460367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036728" name="图片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737434" cy="360000"/>
                          </a:xfrm>
                          <a:prstGeom prst="rect">
                            <a:avLst/>
                          </a:prstGeom>
                          <a:noFill/>
                          <a:ln>
                            <a:noFill/>
                          </a:ln>
                        </pic:spPr>
                      </pic:pic>
                    </a:graphicData>
                  </a:graphic>
                </wp:inline>
              </w:drawing>
            </w:r>
          </w:p>
          <w:p w14:paraId="16DFF188">
            <w:pPr>
              <w:pStyle w:val="3"/>
              <w:ind w:firstLine="480"/>
              <w:rPr>
                <w:color w:val="auto"/>
              </w:rPr>
            </w:pPr>
            <w:r>
              <w:rPr>
                <w:rFonts w:hint="eastAsia"/>
                <w:color w:val="auto"/>
              </w:rPr>
              <w:t>式中：L</w:t>
            </w:r>
            <w:r>
              <w:rPr>
                <w:rFonts w:hint="eastAsia"/>
                <w:color w:val="auto"/>
                <w:vertAlign w:val="subscript"/>
              </w:rPr>
              <w:t>p</w:t>
            </w:r>
            <w:r>
              <w:rPr>
                <w:rFonts w:hint="eastAsia"/>
                <w:color w:val="auto"/>
              </w:rPr>
              <w:t>(r）：预测点处声压级，dB；</w:t>
            </w:r>
          </w:p>
          <w:p w14:paraId="2841B8D0">
            <w:pPr>
              <w:pStyle w:val="3"/>
              <w:ind w:firstLine="480"/>
              <w:rPr>
                <w:color w:val="auto"/>
              </w:rPr>
            </w:pPr>
            <w:r>
              <w:rPr>
                <w:rFonts w:hint="eastAsia"/>
                <w:color w:val="auto"/>
              </w:rPr>
              <w:t>L</w:t>
            </w:r>
            <w:r>
              <w:rPr>
                <w:rFonts w:hint="eastAsia"/>
                <w:color w:val="auto"/>
                <w:vertAlign w:val="subscript"/>
              </w:rPr>
              <w:t>w</w:t>
            </w:r>
            <w:r>
              <w:rPr>
                <w:rFonts w:hint="eastAsia"/>
                <w:color w:val="auto"/>
              </w:rPr>
              <w:t>：由点声源产生的声功率级（A计权或倍频带），dB；</w:t>
            </w:r>
          </w:p>
          <w:p w14:paraId="7C5BC532">
            <w:pPr>
              <w:pStyle w:val="3"/>
              <w:ind w:firstLine="480"/>
              <w:rPr>
                <w:color w:val="auto"/>
              </w:rPr>
            </w:pPr>
            <w:r>
              <w:rPr>
                <w:rFonts w:hint="eastAsia"/>
                <w:color w:val="auto"/>
              </w:rPr>
              <w:t>D</w:t>
            </w:r>
            <w:r>
              <w:rPr>
                <w:rFonts w:hint="eastAsia"/>
                <w:color w:val="auto"/>
                <w:vertAlign w:val="subscript"/>
              </w:rPr>
              <w:t>C</w:t>
            </w:r>
            <w:r>
              <w:rPr>
                <w:rFonts w:hint="eastAsia"/>
                <w:color w:val="auto"/>
              </w:rPr>
              <w:t>：指向性校正，它描述点声源的等效连续声压级与产生声功率级Lw的全向点声源在规定方向的声级的偏差程度，dB；</w:t>
            </w:r>
          </w:p>
          <w:p w14:paraId="67A913DC">
            <w:pPr>
              <w:pStyle w:val="3"/>
              <w:ind w:firstLine="480"/>
              <w:rPr>
                <w:color w:val="auto"/>
              </w:rPr>
            </w:pPr>
            <w:r>
              <w:rPr>
                <w:rFonts w:hint="eastAsia"/>
                <w:color w:val="auto"/>
              </w:rPr>
              <w:t>A</w:t>
            </w:r>
            <w:r>
              <w:rPr>
                <w:rFonts w:hint="eastAsia"/>
                <w:color w:val="auto"/>
                <w:vertAlign w:val="subscript"/>
              </w:rPr>
              <w:t>div</w:t>
            </w:r>
            <w:r>
              <w:rPr>
                <w:rFonts w:hint="eastAsia"/>
                <w:color w:val="auto"/>
              </w:rPr>
              <w:t>：几何发散引起的衰减，dB；</w:t>
            </w:r>
          </w:p>
          <w:p w14:paraId="5C6BD322">
            <w:pPr>
              <w:pStyle w:val="3"/>
              <w:ind w:firstLine="480"/>
              <w:rPr>
                <w:color w:val="auto"/>
              </w:rPr>
            </w:pPr>
            <w:r>
              <w:rPr>
                <w:rFonts w:hint="eastAsia"/>
                <w:color w:val="auto"/>
              </w:rPr>
              <w:t>A</w:t>
            </w:r>
            <w:r>
              <w:rPr>
                <w:rFonts w:hint="eastAsia"/>
                <w:color w:val="auto"/>
                <w:vertAlign w:val="subscript"/>
              </w:rPr>
              <w:t>atm</w:t>
            </w:r>
            <w:r>
              <w:rPr>
                <w:rFonts w:hint="eastAsia"/>
                <w:color w:val="auto"/>
              </w:rPr>
              <w:t>：大气吸收引起的衰减，dB；</w:t>
            </w:r>
          </w:p>
          <w:p w14:paraId="2F8FB4FE">
            <w:pPr>
              <w:pStyle w:val="3"/>
              <w:ind w:firstLine="480"/>
              <w:rPr>
                <w:color w:val="auto"/>
              </w:rPr>
            </w:pPr>
            <w:r>
              <w:rPr>
                <w:rFonts w:hint="eastAsia"/>
                <w:color w:val="auto"/>
              </w:rPr>
              <w:t>A</w:t>
            </w:r>
            <w:r>
              <w:rPr>
                <w:rFonts w:hint="eastAsia"/>
                <w:color w:val="auto"/>
                <w:vertAlign w:val="subscript"/>
              </w:rPr>
              <w:t>gr</w:t>
            </w:r>
            <w:r>
              <w:rPr>
                <w:rFonts w:hint="eastAsia"/>
                <w:color w:val="auto"/>
              </w:rPr>
              <w:t>：地面效应引起的衰减，dB；</w:t>
            </w:r>
          </w:p>
          <w:p w14:paraId="371F2E7E">
            <w:pPr>
              <w:pStyle w:val="3"/>
              <w:ind w:firstLine="480"/>
              <w:rPr>
                <w:color w:val="auto"/>
              </w:rPr>
            </w:pPr>
            <w:r>
              <w:rPr>
                <w:rFonts w:hint="eastAsia"/>
                <w:color w:val="auto"/>
              </w:rPr>
              <w:t>A</w:t>
            </w:r>
            <w:r>
              <w:rPr>
                <w:rFonts w:hint="eastAsia"/>
                <w:color w:val="auto"/>
                <w:vertAlign w:val="subscript"/>
              </w:rPr>
              <w:t>bar</w:t>
            </w:r>
            <w:r>
              <w:rPr>
                <w:rFonts w:hint="eastAsia"/>
                <w:color w:val="auto"/>
              </w:rPr>
              <w:t>：障碍物屏蔽引起的衰减，dB；</w:t>
            </w:r>
          </w:p>
          <w:p w14:paraId="424776C8">
            <w:pPr>
              <w:pStyle w:val="3"/>
              <w:ind w:firstLine="480"/>
              <w:rPr>
                <w:color w:val="auto"/>
              </w:rPr>
            </w:pPr>
            <w:r>
              <w:rPr>
                <w:rFonts w:hint="eastAsia"/>
                <w:color w:val="auto"/>
              </w:rPr>
              <w:t>A</w:t>
            </w:r>
            <w:r>
              <w:rPr>
                <w:rFonts w:hint="eastAsia"/>
                <w:color w:val="auto"/>
                <w:vertAlign w:val="subscript"/>
              </w:rPr>
              <w:t>misc</w:t>
            </w:r>
            <w:r>
              <w:rPr>
                <w:rFonts w:hint="eastAsia"/>
                <w:color w:val="auto"/>
              </w:rPr>
              <w:t>：其他多方面效应引起的衰减，dB。</w:t>
            </w:r>
          </w:p>
          <w:p w14:paraId="4AA4BCC8">
            <w:pPr>
              <w:pStyle w:val="3"/>
              <w:ind w:firstLine="480"/>
              <w:rPr>
                <w:color w:val="auto"/>
              </w:rPr>
            </w:pPr>
            <w:r>
              <w:rPr>
                <w:rFonts w:hint="eastAsia"/>
                <w:color w:val="auto"/>
              </w:rPr>
              <w:t>4）噪声距离衰减公式</w:t>
            </w:r>
          </w:p>
          <w:p w14:paraId="2CEB349A">
            <w:pPr>
              <w:pStyle w:val="51"/>
              <w:rPr>
                <w:color w:val="auto"/>
              </w:rPr>
            </w:pPr>
            <w:r>
              <w:rPr>
                <w:color w:val="auto"/>
              </w:rPr>
              <w:drawing>
                <wp:inline distT="0" distB="0" distL="0" distR="0">
                  <wp:extent cx="1862455" cy="359410"/>
                  <wp:effectExtent l="0" t="0" r="4445" b="2540"/>
                  <wp:docPr id="11478118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811813" name="图片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863033" cy="360000"/>
                          </a:xfrm>
                          <a:prstGeom prst="rect">
                            <a:avLst/>
                          </a:prstGeom>
                          <a:noFill/>
                          <a:ln>
                            <a:noFill/>
                          </a:ln>
                        </pic:spPr>
                      </pic:pic>
                    </a:graphicData>
                  </a:graphic>
                </wp:inline>
              </w:drawing>
            </w:r>
          </w:p>
          <w:p w14:paraId="564DB9A8">
            <w:pPr>
              <w:pStyle w:val="3"/>
              <w:ind w:firstLine="480"/>
              <w:rPr>
                <w:color w:val="auto"/>
              </w:rPr>
            </w:pPr>
            <w:r>
              <w:rPr>
                <w:rFonts w:hint="eastAsia"/>
                <w:color w:val="auto"/>
              </w:rPr>
              <w:t>式中：L</w:t>
            </w:r>
            <w:r>
              <w:rPr>
                <w:rFonts w:hint="eastAsia"/>
                <w:color w:val="auto"/>
                <w:vertAlign w:val="subscript"/>
              </w:rPr>
              <w:t>p</w:t>
            </w:r>
            <w:r>
              <w:rPr>
                <w:rFonts w:hint="eastAsia"/>
                <w:color w:val="auto"/>
              </w:rPr>
              <w:t>(r）：预测点处声压级，dB；</w:t>
            </w:r>
          </w:p>
          <w:p w14:paraId="7ED84755">
            <w:pPr>
              <w:pStyle w:val="3"/>
              <w:ind w:firstLine="480"/>
              <w:rPr>
                <w:color w:val="auto"/>
              </w:rPr>
            </w:pPr>
            <w:r>
              <w:rPr>
                <w:rFonts w:hint="eastAsia"/>
                <w:color w:val="auto"/>
              </w:rPr>
              <w:t>L</w:t>
            </w:r>
            <w:r>
              <w:rPr>
                <w:rFonts w:hint="eastAsia"/>
                <w:color w:val="auto"/>
                <w:vertAlign w:val="subscript"/>
              </w:rPr>
              <w:t>p</w:t>
            </w:r>
            <w:r>
              <w:rPr>
                <w:rFonts w:hint="eastAsia"/>
                <w:color w:val="auto"/>
              </w:rPr>
              <w:t>(r</w:t>
            </w:r>
            <w:r>
              <w:rPr>
                <w:rFonts w:hint="eastAsia"/>
                <w:color w:val="auto"/>
                <w:vertAlign w:val="subscript"/>
              </w:rPr>
              <w:t>0</w:t>
            </w:r>
            <w:r>
              <w:rPr>
                <w:rFonts w:hint="eastAsia"/>
                <w:color w:val="auto"/>
              </w:rPr>
              <w:t>）：参考位置r</w:t>
            </w:r>
            <w:r>
              <w:rPr>
                <w:rFonts w:hint="eastAsia"/>
                <w:color w:val="auto"/>
                <w:vertAlign w:val="subscript"/>
              </w:rPr>
              <w:t>0</w:t>
            </w:r>
            <w:r>
              <w:rPr>
                <w:rFonts w:hint="eastAsia"/>
                <w:color w:val="auto"/>
              </w:rPr>
              <w:t>处的声压级，dB；</w:t>
            </w:r>
          </w:p>
          <w:p w14:paraId="4A3577E5">
            <w:pPr>
              <w:pStyle w:val="3"/>
              <w:ind w:firstLine="480"/>
              <w:rPr>
                <w:color w:val="auto"/>
              </w:rPr>
            </w:pPr>
            <w:r>
              <w:rPr>
                <w:rFonts w:hint="eastAsia"/>
                <w:color w:val="auto"/>
              </w:rPr>
              <w:t>r：预测点距声源的距离；</w:t>
            </w:r>
          </w:p>
          <w:p w14:paraId="00457B50">
            <w:pPr>
              <w:pStyle w:val="3"/>
              <w:ind w:firstLine="480"/>
              <w:rPr>
                <w:color w:val="auto"/>
              </w:rPr>
            </w:pPr>
            <w:r>
              <w:rPr>
                <w:rFonts w:hint="eastAsia"/>
                <w:color w:val="auto"/>
              </w:rPr>
              <w:t>r</w:t>
            </w:r>
            <w:r>
              <w:rPr>
                <w:rFonts w:hint="eastAsia"/>
                <w:color w:val="auto"/>
                <w:vertAlign w:val="subscript"/>
              </w:rPr>
              <w:t>0</w:t>
            </w:r>
            <w:r>
              <w:rPr>
                <w:rFonts w:hint="eastAsia"/>
                <w:color w:val="auto"/>
              </w:rPr>
              <w:t>：参考位置距声源的距离。</w:t>
            </w:r>
          </w:p>
          <w:p w14:paraId="04986DDA">
            <w:pPr>
              <w:pStyle w:val="52"/>
              <w:rPr>
                <w:color w:val="auto"/>
              </w:rPr>
            </w:pPr>
            <w:r>
              <w:rPr>
                <w:rFonts w:hint="eastAsia"/>
                <w:color w:val="auto"/>
              </w:rPr>
              <w:t>（3）预测结果</w:t>
            </w:r>
          </w:p>
          <w:p w14:paraId="66BB0A1A">
            <w:pPr>
              <w:pStyle w:val="3"/>
              <w:ind w:firstLine="480"/>
              <w:rPr>
                <w:color w:val="auto"/>
              </w:rPr>
            </w:pPr>
            <w:r>
              <w:rPr>
                <w:rFonts w:hint="eastAsia"/>
                <w:color w:val="auto"/>
              </w:rPr>
              <w:t>为充分估算声源对周围环境的影响，对不满足计算条件的小额正衰减予以忽略，在此基础上进一步计算各预测点的声级。</w:t>
            </w:r>
          </w:p>
          <w:p w14:paraId="42D33008">
            <w:pPr>
              <w:pStyle w:val="3"/>
              <w:ind w:firstLine="480"/>
              <w:rPr>
                <w:color w:val="auto"/>
              </w:rPr>
            </w:pPr>
            <w:r>
              <w:rPr>
                <w:rFonts w:hint="eastAsia"/>
                <w:color w:val="auto"/>
              </w:rPr>
              <w:t>本次评价边界采用贡献值作为预测值，选取东西南北四个监测点位作为本项目对环境的影响预测点，预测、评价项目噪声对环境的影响。</w:t>
            </w:r>
          </w:p>
          <w:p w14:paraId="702F2638">
            <w:pPr>
              <w:pStyle w:val="49"/>
              <w:rPr>
                <w:color w:val="auto"/>
              </w:rPr>
            </w:pPr>
            <w:bookmarkStart w:id="224" w:name="_Ref176913475"/>
            <w:r>
              <w:rPr>
                <w:rFonts w:hint="eastAsia"/>
                <w:color w:val="auto"/>
              </w:rPr>
              <w:t xml:space="preserve">表4- </w:t>
            </w:r>
            <w:r>
              <w:rPr>
                <w:color w:val="auto"/>
              </w:rPr>
              <w:t>11</w:t>
            </w:r>
            <w:r>
              <w:rPr>
                <w:rFonts w:hint="eastAsia"/>
                <w:color w:val="auto"/>
              </w:rPr>
              <w:t>：项目噪声预测结果一览表</w:t>
            </w:r>
            <w:bookmarkEnd w:id="224"/>
          </w:p>
          <w:tbl>
            <w:tblPr>
              <w:tblStyle w:val="5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1580"/>
              <w:gridCol w:w="1064"/>
              <w:gridCol w:w="1067"/>
              <w:gridCol w:w="1062"/>
              <w:gridCol w:w="1067"/>
              <w:gridCol w:w="1062"/>
              <w:gridCol w:w="1048"/>
            </w:tblGrid>
            <w:tr w14:paraId="09A833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994" w:type="pct"/>
                  <w:vMerge w:val="restart"/>
                  <w:tcBorders>
                    <w:top w:val="single" w:color="auto" w:sz="12" w:space="0"/>
                    <w:left w:val="nil"/>
                    <w:bottom w:val="single" w:color="auto" w:sz="12" w:space="0"/>
                    <w:right w:val="single" w:color="auto" w:sz="4" w:space="0"/>
                    <w:insideH w:val="single" w:sz="12" w:space="0"/>
                    <w:insideV w:val="single" w:sz="4" w:space="0"/>
                    <w:tl2br w:val="nil"/>
                    <w:tr2bl w:val="nil"/>
                  </w:tcBorders>
                  <w:vAlign w:val="center"/>
                </w:tcPr>
                <w:p w14:paraId="5780A074">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sz w:val="21"/>
                      <w:szCs w:val="21"/>
                      <w14:ligatures w14:val="standardContextual"/>
                    </w:rPr>
                  </w:pPr>
                  <w:r>
                    <w:rPr>
                      <w:rFonts w:hint="default" w:ascii="Times New Roman" w:hAnsi="Times New Roman" w:eastAsia="宋体" w:cs="Times New Roman"/>
                      <w:b/>
                      <w:i w:val="0"/>
                      <w:color w:val="auto"/>
                      <w:sz w:val="21"/>
                      <w:szCs w:val="21"/>
                      <w14:ligatures w14:val="standardContextual"/>
                    </w:rPr>
                    <w:t>预测点</w:t>
                  </w:r>
                </w:p>
              </w:tc>
              <w:tc>
                <w:tcPr>
                  <w:tcW w:w="1340" w:type="pct"/>
                  <w:gridSpan w:val="2"/>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5A2E74EC">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sz w:val="21"/>
                      <w:szCs w:val="21"/>
                      <w14:ligatures w14:val="standardContextual"/>
                    </w:rPr>
                  </w:pPr>
                  <w:r>
                    <w:rPr>
                      <w:rFonts w:hint="default" w:ascii="Times New Roman" w:hAnsi="Times New Roman" w:eastAsia="宋体" w:cs="Times New Roman"/>
                      <w:b/>
                      <w:i w:val="0"/>
                      <w:color w:val="auto"/>
                      <w:sz w:val="21"/>
                      <w:szCs w:val="21"/>
                      <w14:ligatures w14:val="standardContextual"/>
                    </w:rPr>
                    <w:t>贡献值</w:t>
                  </w:r>
                </w:p>
              </w:tc>
              <w:tc>
                <w:tcPr>
                  <w:tcW w:w="1339" w:type="pct"/>
                  <w:gridSpan w:val="2"/>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4348647D">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sz w:val="21"/>
                      <w:szCs w:val="21"/>
                      <w14:ligatures w14:val="standardContextual"/>
                    </w:rPr>
                  </w:pPr>
                  <w:r>
                    <w:rPr>
                      <w:rFonts w:hint="default" w:ascii="Times New Roman" w:hAnsi="Times New Roman" w:eastAsia="宋体" w:cs="Times New Roman"/>
                      <w:b/>
                      <w:i w:val="0"/>
                      <w:color w:val="auto"/>
                      <w:sz w:val="21"/>
                      <w:szCs w:val="21"/>
                      <w14:ligatures w14:val="standardContextual"/>
                    </w:rPr>
                    <w:t>标准值</w:t>
                  </w:r>
                </w:p>
              </w:tc>
              <w:tc>
                <w:tcPr>
                  <w:tcW w:w="1327" w:type="pct"/>
                  <w:gridSpan w:val="2"/>
                  <w:tcBorders>
                    <w:top w:val="single" w:color="auto" w:sz="12" w:space="0"/>
                    <w:bottom w:val="single" w:color="auto" w:sz="12" w:space="0"/>
                    <w:right w:val="nil"/>
                    <w:insideH w:val="single" w:sz="12" w:space="0"/>
                    <w:insideV w:val="single" w:sz="4" w:space="0"/>
                    <w:tl2br w:val="nil"/>
                    <w:tr2bl w:val="nil"/>
                  </w:tcBorders>
                  <w:vAlign w:val="center"/>
                </w:tcPr>
                <w:p w14:paraId="4B43F8AF">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sz w:val="21"/>
                      <w:szCs w:val="21"/>
                      <w14:ligatures w14:val="standardContextual"/>
                    </w:rPr>
                  </w:pPr>
                  <w:r>
                    <w:rPr>
                      <w:rFonts w:hint="default" w:ascii="Times New Roman" w:hAnsi="Times New Roman" w:eastAsia="宋体" w:cs="Times New Roman"/>
                      <w:b/>
                      <w:i w:val="0"/>
                      <w:color w:val="auto"/>
                      <w:sz w:val="21"/>
                      <w:szCs w:val="21"/>
                      <w14:ligatures w14:val="standardContextual"/>
                    </w:rPr>
                    <w:t>达标分析</w:t>
                  </w:r>
                </w:p>
              </w:tc>
            </w:tr>
            <w:tr w14:paraId="0FD79F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994" w:type="pct"/>
                  <w:vMerge w:val="continue"/>
                  <w:vAlign w:val="center"/>
                </w:tcPr>
                <w:p w14:paraId="5CE3C2C3">
                  <w:pPr>
                    <w:widowControl w:val="0"/>
                    <w:overflowPunct w:val="0"/>
                    <w:autoSpaceDE w:val="0"/>
                    <w:autoSpaceDN w:val="0"/>
                    <w:snapToGrid w:val="0"/>
                    <w:jc w:val="center"/>
                    <w:rPr>
                      <w:color w:val="auto"/>
                      <w14:ligatures w14:val="standardContextual"/>
                    </w:rPr>
                  </w:pPr>
                </w:p>
              </w:tc>
              <w:tc>
                <w:tcPr>
                  <w:tcW w:w="669" w:type="pct"/>
                  <w:vAlign w:val="center"/>
                </w:tcPr>
                <w:p w14:paraId="43E3539F">
                  <w:pPr>
                    <w:widowControl w:val="0"/>
                    <w:overflowPunct w:val="0"/>
                    <w:autoSpaceDE w:val="0"/>
                    <w:autoSpaceDN w:val="0"/>
                    <w:snapToGrid w:val="0"/>
                    <w:jc w:val="center"/>
                    <w:rPr>
                      <w:color w:val="auto"/>
                      <w14:ligatures w14:val="standardContextual"/>
                    </w:rPr>
                  </w:pPr>
                  <w:r>
                    <w:rPr>
                      <w:color w:val="auto"/>
                      <w14:ligatures w14:val="standardContextual"/>
                    </w:rPr>
                    <w:t>昼间</w:t>
                  </w:r>
                </w:p>
              </w:tc>
              <w:tc>
                <w:tcPr>
                  <w:tcW w:w="671" w:type="pct"/>
                  <w:vAlign w:val="center"/>
                </w:tcPr>
                <w:p w14:paraId="030BC9F7">
                  <w:pPr>
                    <w:widowControl w:val="0"/>
                    <w:overflowPunct w:val="0"/>
                    <w:autoSpaceDE w:val="0"/>
                    <w:autoSpaceDN w:val="0"/>
                    <w:snapToGrid w:val="0"/>
                    <w:jc w:val="center"/>
                    <w:rPr>
                      <w:color w:val="auto"/>
                      <w14:ligatures w14:val="standardContextual"/>
                    </w:rPr>
                  </w:pPr>
                  <w:r>
                    <w:rPr>
                      <w:color w:val="auto"/>
                      <w14:ligatures w14:val="standardContextual"/>
                    </w:rPr>
                    <w:t>夜间</w:t>
                  </w:r>
                </w:p>
              </w:tc>
              <w:tc>
                <w:tcPr>
                  <w:tcW w:w="668" w:type="pct"/>
                  <w:vAlign w:val="center"/>
                </w:tcPr>
                <w:p w14:paraId="764FBBFA">
                  <w:pPr>
                    <w:widowControl w:val="0"/>
                    <w:overflowPunct w:val="0"/>
                    <w:autoSpaceDE w:val="0"/>
                    <w:autoSpaceDN w:val="0"/>
                    <w:snapToGrid w:val="0"/>
                    <w:jc w:val="center"/>
                    <w:rPr>
                      <w:color w:val="auto"/>
                      <w14:ligatures w14:val="standardContextual"/>
                    </w:rPr>
                  </w:pPr>
                  <w:r>
                    <w:rPr>
                      <w:color w:val="auto"/>
                      <w14:ligatures w14:val="standardContextual"/>
                    </w:rPr>
                    <w:t>昼间</w:t>
                  </w:r>
                </w:p>
              </w:tc>
              <w:tc>
                <w:tcPr>
                  <w:tcW w:w="671" w:type="pct"/>
                  <w:vAlign w:val="center"/>
                </w:tcPr>
                <w:p w14:paraId="6BEB6F50">
                  <w:pPr>
                    <w:widowControl w:val="0"/>
                    <w:overflowPunct w:val="0"/>
                    <w:autoSpaceDE w:val="0"/>
                    <w:autoSpaceDN w:val="0"/>
                    <w:snapToGrid w:val="0"/>
                    <w:jc w:val="center"/>
                    <w:rPr>
                      <w:color w:val="auto"/>
                      <w14:ligatures w14:val="standardContextual"/>
                    </w:rPr>
                  </w:pPr>
                  <w:r>
                    <w:rPr>
                      <w:rFonts w:hint="eastAsia"/>
                      <w:color w:val="auto"/>
                      <w14:ligatures w14:val="standardContextual"/>
                    </w:rPr>
                    <w:t>夜间</w:t>
                  </w:r>
                </w:p>
              </w:tc>
              <w:tc>
                <w:tcPr>
                  <w:tcW w:w="668" w:type="pct"/>
                  <w:vAlign w:val="center"/>
                </w:tcPr>
                <w:p w14:paraId="421A4CD1">
                  <w:pPr>
                    <w:widowControl w:val="0"/>
                    <w:overflowPunct w:val="0"/>
                    <w:autoSpaceDE w:val="0"/>
                    <w:autoSpaceDN w:val="0"/>
                    <w:snapToGrid w:val="0"/>
                    <w:jc w:val="center"/>
                    <w:rPr>
                      <w:color w:val="auto"/>
                      <w14:ligatures w14:val="standardContextual"/>
                    </w:rPr>
                  </w:pPr>
                  <w:r>
                    <w:rPr>
                      <w:color w:val="auto"/>
                      <w14:ligatures w14:val="standardContextual"/>
                    </w:rPr>
                    <w:t>昼间</w:t>
                  </w:r>
                </w:p>
              </w:tc>
              <w:tc>
                <w:tcPr>
                  <w:tcW w:w="659" w:type="pct"/>
                  <w:vAlign w:val="center"/>
                </w:tcPr>
                <w:p w14:paraId="0601D867">
                  <w:pPr>
                    <w:widowControl w:val="0"/>
                    <w:overflowPunct w:val="0"/>
                    <w:autoSpaceDE w:val="0"/>
                    <w:autoSpaceDN w:val="0"/>
                    <w:snapToGrid w:val="0"/>
                    <w:jc w:val="center"/>
                    <w:rPr>
                      <w:color w:val="auto"/>
                      <w14:ligatures w14:val="standardContextual"/>
                    </w:rPr>
                  </w:pPr>
                  <w:r>
                    <w:rPr>
                      <w:rFonts w:hint="eastAsia"/>
                      <w:color w:val="auto"/>
                      <w14:ligatures w14:val="standardContextual"/>
                    </w:rPr>
                    <w:t>夜间</w:t>
                  </w:r>
                </w:p>
              </w:tc>
            </w:tr>
            <w:tr w14:paraId="50A090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994" w:type="pct"/>
                  <w:vAlign w:val="center"/>
                </w:tcPr>
                <w:p w14:paraId="40C5DE72">
                  <w:pPr>
                    <w:widowControl w:val="0"/>
                    <w:overflowPunct w:val="0"/>
                    <w:autoSpaceDE w:val="0"/>
                    <w:autoSpaceDN w:val="0"/>
                    <w:snapToGrid w:val="0"/>
                    <w:jc w:val="center"/>
                    <w:rPr>
                      <w:color w:val="auto"/>
                      <w14:ligatures w14:val="standardContextual"/>
                    </w:rPr>
                  </w:pPr>
                  <w:r>
                    <w:rPr>
                      <w:rFonts w:hint="eastAsia"/>
                      <w:color w:val="auto"/>
                      <w14:ligatures w14:val="standardContextual"/>
                    </w:rPr>
                    <w:t>南厂界</w:t>
                  </w:r>
                </w:p>
              </w:tc>
              <w:tc>
                <w:tcPr>
                  <w:tcW w:w="669" w:type="pct"/>
                  <w:vAlign w:val="center"/>
                </w:tcPr>
                <w:p w14:paraId="0B00CF72">
                  <w:pPr>
                    <w:widowControl w:val="0"/>
                    <w:overflowPunct w:val="0"/>
                    <w:autoSpaceDE w:val="0"/>
                    <w:autoSpaceDN w:val="0"/>
                    <w:snapToGrid w:val="0"/>
                    <w:jc w:val="center"/>
                    <w:rPr>
                      <w:color w:val="auto"/>
                      <w14:ligatures w14:val="standardContextual"/>
                    </w:rPr>
                  </w:pPr>
                  <w:r>
                    <w:rPr>
                      <w:rFonts w:hint="eastAsia"/>
                      <w:color w:val="auto"/>
                      <w14:ligatures w14:val="standardContextual"/>
                    </w:rPr>
                    <w:t>51.6</w:t>
                  </w:r>
                </w:p>
              </w:tc>
              <w:tc>
                <w:tcPr>
                  <w:tcW w:w="671" w:type="pct"/>
                  <w:vAlign w:val="center"/>
                </w:tcPr>
                <w:p w14:paraId="392305A2">
                  <w:pPr>
                    <w:widowControl w:val="0"/>
                    <w:overflowPunct w:val="0"/>
                    <w:autoSpaceDE w:val="0"/>
                    <w:autoSpaceDN w:val="0"/>
                    <w:snapToGrid w:val="0"/>
                    <w:jc w:val="center"/>
                    <w:rPr>
                      <w:color w:val="auto"/>
                      <w14:ligatures w14:val="standardContextual"/>
                    </w:rPr>
                  </w:pPr>
                  <w:r>
                    <w:rPr>
                      <w:rFonts w:hint="eastAsia"/>
                      <w:color w:val="auto"/>
                      <w14:ligatures w14:val="standardContextual"/>
                    </w:rPr>
                    <w:t>51.6</w:t>
                  </w:r>
                </w:p>
              </w:tc>
              <w:tc>
                <w:tcPr>
                  <w:tcW w:w="668" w:type="pct"/>
                  <w:vAlign w:val="center"/>
                </w:tcPr>
                <w:p w14:paraId="0F9BDAB1">
                  <w:pPr>
                    <w:widowControl w:val="0"/>
                    <w:overflowPunct w:val="0"/>
                    <w:autoSpaceDE w:val="0"/>
                    <w:autoSpaceDN w:val="0"/>
                    <w:snapToGrid w:val="0"/>
                    <w:jc w:val="center"/>
                    <w:rPr>
                      <w:color w:val="auto"/>
                      <w14:ligatures w14:val="standardContextual"/>
                    </w:rPr>
                  </w:pPr>
                  <w:r>
                    <w:rPr>
                      <w:rFonts w:hint="eastAsia"/>
                      <w:color w:val="auto"/>
                      <w14:ligatures w14:val="standardContextual"/>
                    </w:rPr>
                    <w:t>65</w:t>
                  </w:r>
                </w:p>
              </w:tc>
              <w:tc>
                <w:tcPr>
                  <w:tcW w:w="671" w:type="pct"/>
                  <w:vAlign w:val="center"/>
                </w:tcPr>
                <w:p w14:paraId="69216CAC">
                  <w:pPr>
                    <w:widowControl w:val="0"/>
                    <w:overflowPunct w:val="0"/>
                    <w:autoSpaceDE w:val="0"/>
                    <w:autoSpaceDN w:val="0"/>
                    <w:snapToGrid w:val="0"/>
                    <w:jc w:val="center"/>
                    <w:rPr>
                      <w:color w:val="auto"/>
                      <w14:ligatures w14:val="standardContextual"/>
                    </w:rPr>
                  </w:pPr>
                  <w:r>
                    <w:rPr>
                      <w:rFonts w:hint="eastAsia"/>
                      <w:color w:val="auto"/>
                      <w14:ligatures w14:val="standardContextual"/>
                    </w:rPr>
                    <w:t>55</w:t>
                  </w:r>
                </w:p>
              </w:tc>
              <w:tc>
                <w:tcPr>
                  <w:tcW w:w="668" w:type="pct"/>
                  <w:vAlign w:val="center"/>
                </w:tcPr>
                <w:p w14:paraId="4253016A">
                  <w:pPr>
                    <w:widowControl w:val="0"/>
                    <w:overflowPunct w:val="0"/>
                    <w:autoSpaceDE w:val="0"/>
                    <w:autoSpaceDN w:val="0"/>
                    <w:snapToGrid w:val="0"/>
                    <w:jc w:val="center"/>
                    <w:rPr>
                      <w:color w:val="auto"/>
                      <w14:ligatures w14:val="standardContextual"/>
                    </w:rPr>
                  </w:pPr>
                  <w:r>
                    <w:rPr>
                      <w:rFonts w:hint="eastAsia"/>
                      <w:color w:val="auto"/>
                      <w14:ligatures w14:val="standardContextual"/>
                    </w:rPr>
                    <w:t>达标</w:t>
                  </w:r>
                </w:p>
              </w:tc>
              <w:tc>
                <w:tcPr>
                  <w:tcW w:w="659" w:type="pct"/>
                  <w:vAlign w:val="center"/>
                </w:tcPr>
                <w:p w14:paraId="056A0DD0">
                  <w:pPr>
                    <w:widowControl w:val="0"/>
                    <w:overflowPunct w:val="0"/>
                    <w:autoSpaceDE w:val="0"/>
                    <w:autoSpaceDN w:val="0"/>
                    <w:snapToGrid w:val="0"/>
                    <w:jc w:val="center"/>
                    <w:rPr>
                      <w:color w:val="auto"/>
                      <w14:ligatures w14:val="standardContextual"/>
                    </w:rPr>
                  </w:pPr>
                  <w:r>
                    <w:rPr>
                      <w:rFonts w:hint="eastAsia"/>
                      <w:color w:val="auto"/>
                      <w14:ligatures w14:val="standardContextual"/>
                    </w:rPr>
                    <w:t>达标</w:t>
                  </w:r>
                </w:p>
              </w:tc>
            </w:tr>
            <w:tr w14:paraId="2A594B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994" w:type="pct"/>
                  <w:vAlign w:val="center"/>
                </w:tcPr>
                <w:p w14:paraId="0140D4B1">
                  <w:pPr>
                    <w:widowControl w:val="0"/>
                    <w:overflowPunct w:val="0"/>
                    <w:autoSpaceDE w:val="0"/>
                    <w:autoSpaceDN w:val="0"/>
                    <w:snapToGrid w:val="0"/>
                    <w:jc w:val="center"/>
                    <w:rPr>
                      <w:color w:val="auto"/>
                      <w14:ligatures w14:val="standardContextual"/>
                    </w:rPr>
                  </w:pPr>
                  <w:r>
                    <w:rPr>
                      <w:rFonts w:hint="eastAsia"/>
                      <w:color w:val="auto"/>
                      <w14:ligatures w14:val="standardContextual"/>
                    </w:rPr>
                    <w:t>西厂界</w:t>
                  </w:r>
                </w:p>
              </w:tc>
              <w:tc>
                <w:tcPr>
                  <w:tcW w:w="669" w:type="pct"/>
                  <w:vAlign w:val="center"/>
                </w:tcPr>
                <w:p w14:paraId="6980031C">
                  <w:pPr>
                    <w:widowControl w:val="0"/>
                    <w:overflowPunct w:val="0"/>
                    <w:autoSpaceDE w:val="0"/>
                    <w:autoSpaceDN w:val="0"/>
                    <w:snapToGrid w:val="0"/>
                    <w:jc w:val="center"/>
                    <w:rPr>
                      <w:color w:val="auto"/>
                      <w14:ligatures w14:val="standardContextual"/>
                    </w:rPr>
                  </w:pPr>
                  <w:r>
                    <w:rPr>
                      <w:color w:val="auto"/>
                      <w14:ligatures w14:val="standardContextual"/>
                    </w:rPr>
                    <w:t>5</w:t>
                  </w:r>
                  <w:r>
                    <w:rPr>
                      <w:rFonts w:hint="eastAsia"/>
                      <w:color w:val="auto"/>
                      <w14:ligatures w14:val="standardContextual"/>
                    </w:rPr>
                    <w:t>0</w:t>
                  </w:r>
                  <w:r>
                    <w:rPr>
                      <w:color w:val="auto"/>
                      <w14:ligatures w14:val="standardContextual"/>
                    </w:rPr>
                    <w:t>.</w:t>
                  </w:r>
                  <w:r>
                    <w:rPr>
                      <w:rFonts w:hint="eastAsia"/>
                      <w:color w:val="auto"/>
                      <w14:ligatures w14:val="standardContextual"/>
                    </w:rPr>
                    <w:t>2</w:t>
                  </w:r>
                </w:p>
              </w:tc>
              <w:tc>
                <w:tcPr>
                  <w:tcW w:w="671" w:type="pct"/>
                  <w:vAlign w:val="center"/>
                </w:tcPr>
                <w:p w14:paraId="6F044088">
                  <w:pPr>
                    <w:widowControl w:val="0"/>
                    <w:overflowPunct w:val="0"/>
                    <w:autoSpaceDE w:val="0"/>
                    <w:autoSpaceDN w:val="0"/>
                    <w:snapToGrid w:val="0"/>
                    <w:jc w:val="center"/>
                    <w:rPr>
                      <w:color w:val="auto"/>
                      <w14:ligatures w14:val="standardContextual"/>
                    </w:rPr>
                  </w:pPr>
                  <w:r>
                    <w:rPr>
                      <w:color w:val="auto"/>
                      <w14:ligatures w14:val="standardContextual"/>
                    </w:rPr>
                    <w:t>5</w:t>
                  </w:r>
                  <w:r>
                    <w:rPr>
                      <w:rFonts w:hint="eastAsia"/>
                      <w:color w:val="auto"/>
                      <w14:ligatures w14:val="standardContextual"/>
                    </w:rPr>
                    <w:t>0</w:t>
                  </w:r>
                  <w:r>
                    <w:rPr>
                      <w:color w:val="auto"/>
                      <w14:ligatures w14:val="standardContextual"/>
                    </w:rPr>
                    <w:t>.</w:t>
                  </w:r>
                  <w:r>
                    <w:rPr>
                      <w:rFonts w:hint="eastAsia"/>
                      <w:color w:val="auto"/>
                      <w14:ligatures w14:val="standardContextual"/>
                    </w:rPr>
                    <w:t>2</w:t>
                  </w:r>
                </w:p>
              </w:tc>
              <w:tc>
                <w:tcPr>
                  <w:tcW w:w="668" w:type="pct"/>
                  <w:vAlign w:val="center"/>
                </w:tcPr>
                <w:p w14:paraId="112C88CF">
                  <w:pPr>
                    <w:widowControl w:val="0"/>
                    <w:overflowPunct w:val="0"/>
                    <w:autoSpaceDE w:val="0"/>
                    <w:autoSpaceDN w:val="0"/>
                    <w:snapToGrid w:val="0"/>
                    <w:jc w:val="center"/>
                    <w:rPr>
                      <w:color w:val="auto"/>
                      <w14:ligatures w14:val="standardContextual"/>
                    </w:rPr>
                  </w:pPr>
                  <w:r>
                    <w:rPr>
                      <w:rFonts w:hint="eastAsia"/>
                      <w:color w:val="auto"/>
                      <w14:ligatures w14:val="standardContextual"/>
                    </w:rPr>
                    <w:t>65</w:t>
                  </w:r>
                </w:p>
              </w:tc>
              <w:tc>
                <w:tcPr>
                  <w:tcW w:w="671" w:type="pct"/>
                  <w:vAlign w:val="center"/>
                </w:tcPr>
                <w:p w14:paraId="74893A26">
                  <w:pPr>
                    <w:widowControl w:val="0"/>
                    <w:overflowPunct w:val="0"/>
                    <w:autoSpaceDE w:val="0"/>
                    <w:autoSpaceDN w:val="0"/>
                    <w:snapToGrid w:val="0"/>
                    <w:jc w:val="center"/>
                    <w:rPr>
                      <w:color w:val="auto"/>
                      <w14:ligatures w14:val="standardContextual"/>
                    </w:rPr>
                  </w:pPr>
                  <w:r>
                    <w:rPr>
                      <w:rFonts w:hint="eastAsia"/>
                      <w:color w:val="auto"/>
                      <w14:ligatures w14:val="standardContextual"/>
                    </w:rPr>
                    <w:t>55</w:t>
                  </w:r>
                </w:p>
              </w:tc>
              <w:tc>
                <w:tcPr>
                  <w:tcW w:w="668" w:type="pct"/>
                  <w:vAlign w:val="center"/>
                </w:tcPr>
                <w:p w14:paraId="4F88B28C">
                  <w:pPr>
                    <w:widowControl w:val="0"/>
                    <w:overflowPunct w:val="0"/>
                    <w:autoSpaceDE w:val="0"/>
                    <w:autoSpaceDN w:val="0"/>
                    <w:snapToGrid w:val="0"/>
                    <w:jc w:val="center"/>
                    <w:rPr>
                      <w:color w:val="auto"/>
                      <w14:ligatures w14:val="standardContextual"/>
                    </w:rPr>
                  </w:pPr>
                  <w:r>
                    <w:rPr>
                      <w:rFonts w:hint="eastAsia"/>
                      <w:color w:val="auto"/>
                      <w14:ligatures w14:val="standardContextual"/>
                    </w:rPr>
                    <w:t>达标</w:t>
                  </w:r>
                </w:p>
              </w:tc>
              <w:tc>
                <w:tcPr>
                  <w:tcW w:w="659" w:type="pct"/>
                  <w:vAlign w:val="center"/>
                </w:tcPr>
                <w:p w14:paraId="4A3690AE">
                  <w:pPr>
                    <w:widowControl w:val="0"/>
                    <w:overflowPunct w:val="0"/>
                    <w:autoSpaceDE w:val="0"/>
                    <w:autoSpaceDN w:val="0"/>
                    <w:snapToGrid w:val="0"/>
                    <w:jc w:val="center"/>
                    <w:rPr>
                      <w:color w:val="auto"/>
                      <w14:ligatures w14:val="standardContextual"/>
                    </w:rPr>
                  </w:pPr>
                  <w:r>
                    <w:rPr>
                      <w:rFonts w:hint="eastAsia"/>
                      <w:color w:val="auto"/>
                      <w14:ligatures w14:val="standardContextual"/>
                    </w:rPr>
                    <w:t>达标</w:t>
                  </w:r>
                </w:p>
              </w:tc>
            </w:tr>
            <w:tr w14:paraId="36F52C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994" w:type="pct"/>
                  <w:vAlign w:val="center"/>
                </w:tcPr>
                <w:p w14:paraId="6E044428">
                  <w:pPr>
                    <w:widowControl w:val="0"/>
                    <w:overflowPunct w:val="0"/>
                    <w:autoSpaceDE w:val="0"/>
                    <w:autoSpaceDN w:val="0"/>
                    <w:snapToGrid w:val="0"/>
                    <w:jc w:val="center"/>
                    <w:rPr>
                      <w:color w:val="auto"/>
                      <w14:ligatures w14:val="standardContextual"/>
                    </w:rPr>
                  </w:pPr>
                  <w:r>
                    <w:rPr>
                      <w:rFonts w:hint="eastAsia"/>
                      <w:color w:val="auto"/>
                      <w14:ligatures w14:val="standardContextual"/>
                    </w:rPr>
                    <w:t>北厂界</w:t>
                  </w:r>
                </w:p>
              </w:tc>
              <w:tc>
                <w:tcPr>
                  <w:tcW w:w="669" w:type="pct"/>
                  <w:vAlign w:val="center"/>
                </w:tcPr>
                <w:p w14:paraId="454DBDC3">
                  <w:pPr>
                    <w:widowControl w:val="0"/>
                    <w:overflowPunct w:val="0"/>
                    <w:autoSpaceDE w:val="0"/>
                    <w:autoSpaceDN w:val="0"/>
                    <w:snapToGrid w:val="0"/>
                    <w:jc w:val="center"/>
                    <w:rPr>
                      <w:color w:val="auto"/>
                      <w14:ligatures w14:val="standardContextual"/>
                    </w:rPr>
                  </w:pPr>
                  <w:r>
                    <w:rPr>
                      <w:rFonts w:hint="eastAsia"/>
                      <w:color w:val="auto"/>
                      <w14:ligatures w14:val="standardContextual"/>
                    </w:rPr>
                    <w:t>32</w:t>
                  </w:r>
                  <w:r>
                    <w:rPr>
                      <w:color w:val="auto"/>
                      <w14:ligatures w14:val="standardContextual"/>
                    </w:rPr>
                    <w:t>.</w:t>
                  </w:r>
                  <w:r>
                    <w:rPr>
                      <w:rFonts w:hint="eastAsia"/>
                      <w:color w:val="auto"/>
                      <w14:ligatures w14:val="standardContextual"/>
                    </w:rPr>
                    <w:t>2</w:t>
                  </w:r>
                </w:p>
              </w:tc>
              <w:tc>
                <w:tcPr>
                  <w:tcW w:w="671" w:type="pct"/>
                  <w:vAlign w:val="center"/>
                </w:tcPr>
                <w:p w14:paraId="5275AC65">
                  <w:pPr>
                    <w:widowControl w:val="0"/>
                    <w:overflowPunct w:val="0"/>
                    <w:autoSpaceDE w:val="0"/>
                    <w:autoSpaceDN w:val="0"/>
                    <w:snapToGrid w:val="0"/>
                    <w:jc w:val="center"/>
                    <w:rPr>
                      <w:color w:val="auto"/>
                      <w14:ligatures w14:val="standardContextual"/>
                    </w:rPr>
                  </w:pPr>
                  <w:r>
                    <w:rPr>
                      <w:rFonts w:hint="eastAsia"/>
                      <w:color w:val="auto"/>
                      <w14:ligatures w14:val="standardContextual"/>
                    </w:rPr>
                    <w:t>32</w:t>
                  </w:r>
                  <w:r>
                    <w:rPr>
                      <w:color w:val="auto"/>
                      <w14:ligatures w14:val="standardContextual"/>
                    </w:rPr>
                    <w:t>.</w:t>
                  </w:r>
                  <w:r>
                    <w:rPr>
                      <w:rFonts w:hint="eastAsia"/>
                      <w:color w:val="auto"/>
                      <w14:ligatures w14:val="standardContextual"/>
                    </w:rPr>
                    <w:t>2</w:t>
                  </w:r>
                </w:p>
              </w:tc>
              <w:tc>
                <w:tcPr>
                  <w:tcW w:w="668" w:type="pct"/>
                  <w:vAlign w:val="center"/>
                </w:tcPr>
                <w:p w14:paraId="07636E45">
                  <w:pPr>
                    <w:widowControl w:val="0"/>
                    <w:overflowPunct w:val="0"/>
                    <w:autoSpaceDE w:val="0"/>
                    <w:autoSpaceDN w:val="0"/>
                    <w:snapToGrid w:val="0"/>
                    <w:jc w:val="center"/>
                    <w:rPr>
                      <w:color w:val="auto"/>
                      <w14:ligatures w14:val="standardContextual"/>
                    </w:rPr>
                  </w:pPr>
                  <w:r>
                    <w:rPr>
                      <w:rFonts w:hint="eastAsia"/>
                      <w:color w:val="auto"/>
                      <w14:ligatures w14:val="standardContextual"/>
                    </w:rPr>
                    <w:t>65</w:t>
                  </w:r>
                </w:p>
              </w:tc>
              <w:tc>
                <w:tcPr>
                  <w:tcW w:w="671" w:type="pct"/>
                  <w:vAlign w:val="center"/>
                </w:tcPr>
                <w:p w14:paraId="0C89FCCD">
                  <w:pPr>
                    <w:widowControl w:val="0"/>
                    <w:overflowPunct w:val="0"/>
                    <w:autoSpaceDE w:val="0"/>
                    <w:autoSpaceDN w:val="0"/>
                    <w:snapToGrid w:val="0"/>
                    <w:jc w:val="center"/>
                    <w:rPr>
                      <w:color w:val="auto"/>
                      <w14:ligatures w14:val="standardContextual"/>
                    </w:rPr>
                  </w:pPr>
                  <w:r>
                    <w:rPr>
                      <w:rFonts w:hint="eastAsia"/>
                      <w:color w:val="auto"/>
                      <w14:ligatures w14:val="standardContextual"/>
                    </w:rPr>
                    <w:t>55</w:t>
                  </w:r>
                </w:p>
              </w:tc>
              <w:tc>
                <w:tcPr>
                  <w:tcW w:w="668" w:type="pct"/>
                  <w:vAlign w:val="center"/>
                </w:tcPr>
                <w:p w14:paraId="24B3ECA3">
                  <w:pPr>
                    <w:widowControl w:val="0"/>
                    <w:overflowPunct w:val="0"/>
                    <w:autoSpaceDE w:val="0"/>
                    <w:autoSpaceDN w:val="0"/>
                    <w:snapToGrid w:val="0"/>
                    <w:jc w:val="center"/>
                    <w:rPr>
                      <w:color w:val="auto"/>
                      <w14:ligatures w14:val="standardContextual"/>
                    </w:rPr>
                  </w:pPr>
                  <w:r>
                    <w:rPr>
                      <w:rFonts w:hint="eastAsia"/>
                      <w:color w:val="auto"/>
                      <w14:ligatures w14:val="standardContextual"/>
                    </w:rPr>
                    <w:t>达标</w:t>
                  </w:r>
                </w:p>
              </w:tc>
              <w:tc>
                <w:tcPr>
                  <w:tcW w:w="659" w:type="pct"/>
                  <w:vAlign w:val="center"/>
                </w:tcPr>
                <w:p w14:paraId="2589EA7B">
                  <w:pPr>
                    <w:widowControl w:val="0"/>
                    <w:overflowPunct w:val="0"/>
                    <w:autoSpaceDE w:val="0"/>
                    <w:autoSpaceDN w:val="0"/>
                    <w:snapToGrid w:val="0"/>
                    <w:jc w:val="center"/>
                    <w:rPr>
                      <w:color w:val="auto"/>
                      <w14:ligatures w14:val="standardContextual"/>
                    </w:rPr>
                  </w:pPr>
                  <w:r>
                    <w:rPr>
                      <w:rFonts w:hint="eastAsia"/>
                      <w:color w:val="auto"/>
                      <w14:ligatures w14:val="standardContextual"/>
                    </w:rPr>
                    <w:t>达标</w:t>
                  </w:r>
                </w:p>
              </w:tc>
            </w:tr>
            <w:tr w14:paraId="0CCE26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994" w:type="pct"/>
                  <w:vAlign w:val="center"/>
                </w:tcPr>
                <w:p w14:paraId="24443703">
                  <w:pPr>
                    <w:widowControl w:val="0"/>
                    <w:overflowPunct w:val="0"/>
                    <w:autoSpaceDE w:val="0"/>
                    <w:autoSpaceDN w:val="0"/>
                    <w:snapToGrid w:val="0"/>
                    <w:jc w:val="center"/>
                    <w:rPr>
                      <w:color w:val="auto"/>
                      <w14:ligatures w14:val="standardContextual"/>
                    </w:rPr>
                  </w:pPr>
                  <w:r>
                    <w:rPr>
                      <w:rFonts w:hint="eastAsia"/>
                      <w:color w:val="auto"/>
                      <w14:ligatures w14:val="standardContextual"/>
                    </w:rPr>
                    <w:t>东厂界</w:t>
                  </w:r>
                </w:p>
              </w:tc>
              <w:tc>
                <w:tcPr>
                  <w:tcW w:w="669" w:type="pct"/>
                  <w:vAlign w:val="center"/>
                </w:tcPr>
                <w:p w14:paraId="5705785D">
                  <w:pPr>
                    <w:widowControl w:val="0"/>
                    <w:overflowPunct w:val="0"/>
                    <w:autoSpaceDE w:val="0"/>
                    <w:autoSpaceDN w:val="0"/>
                    <w:snapToGrid w:val="0"/>
                    <w:jc w:val="center"/>
                    <w:rPr>
                      <w:color w:val="auto"/>
                      <w14:ligatures w14:val="standardContextual"/>
                    </w:rPr>
                  </w:pPr>
                  <w:r>
                    <w:rPr>
                      <w:rFonts w:hint="eastAsia"/>
                      <w:color w:val="auto"/>
                      <w14:ligatures w14:val="standardContextual"/>
                    </w:rPr>
                    <w:t>28</w:t>
                  </w:r>
                  <w:r>
                    <w:rPr>
                      <w:color w:val="auto"/>
                      <w14:ligatures w14:val="standardContextual"/>
                    </w:rPr>
                    <w:t>.</w:t>
                  </w:r>
                  <w:r>
                    <w:rPr>
                      <w:rFonts w:hint="eastAsia"/>
                      <w:color w:val="auto"/>
                      <w14:ligatures w14:val="standardContextual"/>
                    </w:rPr>
                    <w:t>2</w:t>
                  </w:r>
                </w:p>
              </w:tc>
              <w:tc>
                <w:tcPr>
                  <w:tcW w:w="671" w:type="pct"/>
                  <w:vAlign w:val="center"/>
                </w:tcPr>
                <w:p w14:paraId="07E77E1A">
                  <w:pPr>
                    <w:widowControl w:val="0"/>
                    <w:overflowPunct w:val="0"/>
                    <w:autoSpaceDE w:val="0"/>
                    <w:autoSpaceDN w:val="0"/>
                    <w:snapToGrid w:val="0"/>
                    <w:jc w:val="center"/>
                    <w:rPr>
                      <w:color w:val="auto"/>
                      <w14:ligatures w14:val="standardContextual"/>
                    </w:rPr>
                  </w:pPr>
                  <w:r>
                    <w:rPr>
                      <w:rFonts w:hint="eastAsia"/>
                      <w:color w:val="auto"/>
                      <w14:ligatures w14:val="standardContextual"/>
                    </w:rPr>
                    <w:t>28</w:t>
                  </w:r>
                  <w:r>
                    <w:rPr>
                      <w:color w:val="auto"/>
                      <w14:ligatures w14:val="standardContextual"/>
                    </w:rPr>
                    <w:t>.</w:t>
                  </w:r>
                  <w:r>
                    <w:rPr>
                      <w:rFonts w:hint="eastAsia"/>
                      <w:color w:val="auto"/>
                      <w14:ligatures w14:val="standardContextual"/>
                    </w:rPr>
                    <w:t>2</w:t>
                  </w:r>
                </w:p>
              </w:tc>
              <w:tc>
                <w:tcPr>
                  <w:tcW w:w="668" w:type="pct"/>
                  <w:vAlign w:val="center"/>
                </w:tcPr>
                <w:p w14:paraId="56DD57A7">
                  <w:pPr>
                    <w:widowControl w:val="0"/>
                    <w:overflowPunct w:val="0"/>
                    <w:autoSpaceDE w:val="0"/>
                    <w:autoSpaceDN w:val="0"/>
                    <w:snapToGrid w:val="0"/>
                    <w:jc w:val="center"/>
                    <w:rPr>
                      <w:color w:val="auto"/>
                      <w14:ligatures w14:val="standardContextual"/>
                    </w:rPr>
                  </w:pPr>
                  <w:r>
                    <w:rPr>
                      <w:rFonts w:hint="eastAsia"/>
                      <w:color w:val="auto"/>
                      <w14:ligatures w14:val="standardContextual"/>
                    </w:rPr>
                    <w:t>65</w:t>
                  </w:r>
                </w:p>
              </w:tc>
              <w:tc>
                <w:tcPr>
                  <w:tcW w:w="671" w:type="pct"/>
                  <w:vAlign w:val="center"/>
                </w:tcPr>
                <w:p w14:paraId="047881F4">
                  <w:pPr>
                    <w:widowControl w:val="0"/>
                    <w:overflowPunct w:val="0"/>
                    <w:autoSpaceDE w:val="0"/>
                    <w:autoSpaceDN w:val="0"/>
                    <w:snapToGrid w:val="0"/>
                    <w:jc w:val="center"/>
                    <w:rPr>
                      <w:color w:val="auto"/>
                      <w14:ligatures w14:val="standardContextual"/>
                    </w:rPr>
                  </w:pPr>
                  <w:r>
                    <w:rPr>
                      <w:rFonts w:hint="eastAsia"/>
                      <w:color w:val="auto"/>
                      <w14:ligatures w14:val="standardContextual"/>
                    </w:rPr>
                    <w:t>55</w:t>
                  </w:r>
                </w:p>
              </w:tc>
              <w:tc>
                <w:tcPr>
                  <w:tcW w:w="668" w:type="pct"/>
                  <w:vAlign w:val="center"/>
                </w:tcPr>
                <w:p w14:paraId="1E1E30C7">
                  <w:pPr>
                    <w:widowControl w:val="0"/>
                    <w:overflowPunct w:val="0"/>
                    <w:autoSpaceDE w:val="0"/>
                    <w:autoSpaceDN w:val="0"/>
                    <w:snapToGrid w:val="0"/>
                    <w:jc w:val="center"/>
                    <w:rPr>
                      <w:color w:val="auto"/>
                      <w14:ligatures w14:val="standardContextual"/>
                    </w:rPr>
                  </w:pPr>
                  <w:r>
                    <w:rPr>
                      <w:rFonts w:hint="eastAsia"/>
                      <w:color w:val="auto"/>
                      <w14:ligatures w14:val="standardContextual"/>
                    </w:rPr>
                    <w:t>达标</w:t>
                  </w:r>
                </w:p>
              </w:tc>
              <w:tc>
                <w:tcPr>
                  <w:tcW w:w="659" w:type="pct"/>
                  <w:vAlign w:val="center"/>
                </w:tcPr>
                <w:p w14:paraId="0742128C">
                  <w:pPr>
                    <w:widowControl w:val="0"/>
                    <w:overflowPunct w:val="0"/>
                    <w:autoSpaceDE w:val="0"/>
                    <w:autoSpaceDN w:val="0"/>
                    <w:snapToGrid w:val="0"/>
                    <w:jc w:val="center"/>
                    <w:rPr>
                      <w:color w:val="auto"/>
                      <w14:ligatures w14:val="standardContextual"/>
                    </w:rPr>
                  </w:pPr>
                  <w:r>
                    <w:rPr>
                      <w:rFonts w:hint="eastAsia"/>
                      <w:color w:val="auto"/>
                      <w14:ligatures w14:val="standardContextual"/>
                    </w:rPr>
                    <w:t>达标</w:t>
                  </w:r>
                </w:p>
              </w:tc>
            </w:tr>
          </w:tbl>
          <w:p w14:paraId="5BAACB90">
            <w:pPr>
              <w:pStyle w:val="3"/>
              <w:ind w:firstLine="480"/>
              <w:rPr>
                <w:color w:val="auto"/>
              </w:rPr>
            </w:pPr>
            <w:r>
              <w:rPr>
                <w:rFonts w:hint="eastAsia"/>
                <w:color w:val="auto"/>
              </w:rPr>
              <w:t>由上表可知，采取措施后，本项目厂界噪声排放满足《工业企业厂界环境噪声排放标准》(GB12348-2008)3类区标准，不会对周围声环境产生明显影响。</w:t>
            </w:r>
          </w:p>
          <w:p w14:paraId="45EC4BCD">
            <w:pPr>
              <w:pStyle w:val="52"/>
              <w:rPr>
                <w:color w:val="auto"/>
              </w:rPr>
            </w:pPr>
            <w:r>
              <w:rPr>
                <w:rFonts w:hint="eastAsia"/>
                <w:color w:val="auto"/>
              </w:rPr>
              <w:t>4、噪声污染控制措施</w:t>
            </w:r>
          </w:p>
          <w:p w14:paraId="36EC7DA6">
            <w:pPr>
              <w:pStyle w:val="3"/>
              <w:ind w:firstLine="480"/>
              <w:rPr>
                <w:color w:val="auto"/>
              </w:rPr>
            </w:pPr>
            <w:r>
              <w:rPr>
                <w:rFonts w:hint="eastAsia"/>
                <w:color w:val="auto"/>
              </w:rPr>
              <w:t>本报告根据项目实际情况提出以下噪声防治措施：</w:t>
            </w:r>
          </w:p>
          <w:p w14:paraId="299D1715">
            <w:pPr>
              <w:pStyle w:val="3"/>
              <w:ind w:firstLine="480"/>
              <w:rPr>
                <w:color w:val="auto"/>
              </w:rPr>
            </w:pPr>
            <w:r>
              <w:rPr>
                <w:rFonts w:hint="eastAsia"/>
                <w:color w:val="auto"/>
              </w:rPr>
              <w:t>①从声源上控制噪声，选用低噪声的设备、机械车辆，高噪声设备安设基础减振垫，减少振动、阻碍声源传播，以降低噪声。</w:t>
            </w:r>
          </w:p>
          <w:p w14:paraId="0A8B48F0">
            <w:pPr>
              <w:pStyle w:val="3"/>
              <w:ind w:firstLine="480"/>
              <w:rPr>
                <w:color w:val="auto"/>
              </w:rPr>
            </w:pPr>
            <w:r>
              <w:rPr>
                <w:rFonts w:hint="eastAsia"/>
                <w:color w:val="auto"/>
              </w:rPr>
              <w:t>②合理安置作业区域，避免局部噪声过于集中，高噪声设备布置在车间中部，远离厂界。</w:t>
            </w:r>
          </w:p>
          <w:p w14:paraId="1C79DD88">
            <w:pPr>
              <w:pStyle w:val="3"/>
              <w:ind w:firstLine="480"/>
              <w:rPr>
                <w:color w:val="auto"/>
              </w:rPr>
            </w:pPr>
            <w:r>
              <w:rPr>
                <w:rFonts w:hint="eastAsia"/>
                <w:color w:val="auto"/>
              </w:rPr>
              <w:t>③加强生产管理、文明生产，定期维护机械设备，运输车辆定期进行年检，使其处于正常运行状态。</w:t>
            </w:r>
          </w:p>
          <w:p w14:paraId="0A3462AE">
            <w:pPr>
              <w:pStyle w:val="3"/>
              <w:ind w:firstLine="480"/>
              <w:rPr>
                <w:color w:val="auto"/>
              </w:rPr>
            </w:pPr>
            <w:r>
              <w:rPr>
                <w:rFonts w:hint="eastAsia"/>
                <w:color w:val="auto"/>
              </w:rPr>
              <w:t>④场界四周设置围墙，场内进行绿化，利用围墙、树木的阻隔作用降噪，从传播途径上衰减噪声。</w:t>
            </w:r>
          </w:p>
          <w:p w14:paraId="3EA750F2">
            <w:pPr>
              <w:pStyle w:val="3"/>
              <w:ind w:firstLine="480"/>
              <w:rPr>
                <w:color w:val="auto"/>
              </w:rPr>
            </w:pPr>
            <w:r>
              <w:rPr>
                <w:rFonts w:hint="eastAsia"/>
                <w:color w:val="auto"/>
              </w:rPr>
              <w:t>综上所述，经采取隔声降噪措施后，项目噪声对声环境影响小。</w:t>
            </w:r>
          </w:p>
          <w:p w14:paraId="33D91E9E">
            <w:pPr>
              <w:pStyle w:val="52"/>
              <w:rPr>
                <w:color w:val="auto"/>
              </w:rPr>
            </w:pPr>
            <w:r>
              <w:rPr>
                <w:rFonts w:hint="eastAsia"/>
                <w:color w:val="auto"/>
              </w:rPr>
              <w:t>5、噪声监测要求</w:t>
            </w:r>
          </w:p>
          <w:p w14:paraId="38A28DAB">
            <w:pPr>
              <w:pStyle w:val="3"/>
              <w:ind w:firstLine="480"/>
              <w:rPr>
                <w:color w:val="auto"/>
              </w:rPr>
            </w:pPr>
            <w:r>
              <w:rPr>
                <w:rFonts w:hint="eastAsia"/>
                <w:color w:val="auto"/>
              </w:rPr>
              <w:t>根据《排污单位自行监测技术指</w:t>
            </w:r>
            <w:r>
              <w:rPr>
                <w:rFonts w:hint="eastAsia"/>
                <w:color w:val="auto"/>
                <w:spacing w:val="120"/>
                <w:kern w:val="0"/>
                <w:fitText w:val="720" w:id="-925508864"/>
              </w:rPr>
              <w:t>南</w:t>
            </w:r>
            <w:r>
              <w:rPr>
                <w:rFonts w:hint="eastAsia"/>
                <w:color w:val="auto"/>
                <w:spacing w:val="0"/>
                <w:kern w:val="0"/>
                <w:fitText w:val="720" w:id="-925508864"/>
              </w:rPr>
              <w:t>总</w:t>
            </w:r>
            <w:r>
              <w:rPr>
                <w:rFonts w:hint="eastAsia"/>
                <w:color w:val="auto"/>
              </w:rPr>
              <w:t>则》（HJ819-2017），项目运营期噪声监测要求如下表：</w:t>
            </w:r>
          </w:p>
          <w:p w14:paraId="37C169D0">
            <w:pPr>
              <w:pStyle w:val="49"/>
              <w:rPr>
                <w:color w:val="auto"/>
              </w:rPr>
            </w:pPr>
            <w:r>
              <w:rPr>
                <w:rFonts w:hint="eastAsia"/>
                <w:color w:val="auto"/>
              </w:rPr>
              <w:t xml:space="preserve">表4- </w:t>
            </w:r>
            <w:r>
              <w:rPr>
                <w:color w:val="auto"/>
              </w:rPr>
              <w:t>12</w:t>
            </w:r>
            <w:r>
              <w:rPr>
                <w:rFonts w:hint="eastAsia"/>
                <w:color w:val="auto"/>
              </w:rPr>
              <w:t>：噪声监测计划-</w:t>
            </w:r>
            <w:r>
              <w:rPr>
                <w:color w:val="auto"/>
              </w:rPr>
              <w:t>--</w:t>
            </w:r>
            <w:r>
              <w:rPr>
                <w:rFonts w:hint="eastAsia"/>
                <w:color w:val="auto"/>
              </w:rPr>
              <w:t>单位：dB(A)</w:t>
            </w:r>
          </w:p>
          <w:tbl>
            <w:tblPr>
              <w:tblStyle w:val="20"/>
              <w:tblW w:w="7938"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689"/>
              <w:gridCol w:w="2565"/>
              <w:gridCol w:w="3684"/>
            </w:tblGrid>
            <w:tr w14:paraId="388913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736" w:type="dxa"/>
                  <w:tcBorders>
                    <w:top w:val="single" w:color="auto" w:sz="12" w:space="0"/>
                    <w:left w:val="nil"/>
                    <w:bottom w:val="single" w:color="auto" w:sz="12" w:space="0"/>
                    <w:right w:val="single" w:color="auto" w:sz="4" w:space="0"/>
                  </w:tcBorders>
                  <w:vAlign w:val="center"/>
                </w:tcPr>
                <w:p w14:paraId="12051D24">
                  <w:pPr>
                    <w:widowControl w:val="0"/>
                    <w:overflowPunct w:val="0"/>
                    <w:autoSpaceDE w:val="0"/>
                    <w:autoSpaceDN w:val="0"/>
                    <w:adjustRightInd w:val="0"/>
                    <w:snapToGrid w:val="0"/>
                    <w:jc w:val="center"/>
                    <w:rPr>
                      <w:b/>
                      <w:color w:val="auto"/>
                    </w:rPr>
                  </w:pPr>
                  <w:r>
                    <w:rPr>
                      <w:rFonts w:hint="eastAsia"/>
                      <w:b/>
                      <w:color w:val="auto"/>
                      <w:lang w:eastAsia="zh-CN"/>
                    </w:rPr>
                    <w:t>监测点</w:t>
                  </w:r>
                  <w:r>
                    <w:rPr>
                      <w:b/>
                      <w:color w:val="auto"/>
                    </w:rPr>
                    <w:t>位</w:t>
                  </w:r>
                </w:p>
              </w:tc>
              <w:tc>
                <w:tcPr>
                  <w:tcW w:w="2632" w:type="dxa"/>
                  <w:tcBorders>
                    <w:top w:val="single" w:color="auto" w:sz="12" w:space="0"/>
                    <w:left w:val="single" w:color="auto" w:sz="4" w:space="0"/>
                    <w:bottom w:val="single" w:color="auto" w:sz="12" w:space="0"/>
                    <w:right w:val="single" w:color="auto" w:sz="4" w:space="0"/>
                  </w:tcBorders>
                  <w:vAlign w:val="center"/>
                </w:tcPr>
                <w:p w14:paraId="693BB9FA">
                  <w:pPr>
                    <w:widowControl w:val="0"/>
                    <w:overflowPunct w:val="0"/>
                    <w:autoSpaceDE w:val="0"/>
                    <w:autoSpaceDN w:val="0"/>
                    <w:adjustRightInd w:val="0"/>
                    <w:snapToGrid w:val="0"/>
                    <w:jc w:val="center"/>
                    <w:rPr>
                      <w:b/>
                      <w:color w:val="auto"/>
                    </w:rPr>
                  </w:pPr>
                  <w:r>
                    <w:rPr>
                      <w:b/>
                      <w:color w:val="auto"/>
                    </w:rPr>
                    <w:t>监测频次</w:t>
                  </w:r>
                </w:p>
              </w:tc>
              <w:tc>
                <w:tcPr>
                  <w:tcW w:w="3751" w:type="dxa"/>
                  <w:tcBorders>
                    <w:top w:val="single" w:color="auto" w:sz="12" w:space="0"/>
                    <w:left w:val="single" w:color="auto" w:sz="4" w:space="0"/>
                    <w:bottom w:val="single" w:color="auto" w:sz="12" w:space="0"/>
                    <w:right w:val="nil"/>
                  </w:tcBorders>
                  <w:vAlign w:val="center"/>
                </w:tcPr>
                <w:p w14:paraId="335AAC19">
                  <w:pPr>
                    <w:widowControl w:val="0"/>
                    <w:overflowPunct w:val="0"/>
                    <w:autoSpaceDE w:val="0"/>
                    <w:autoSpaceDN w:val="0"/>
                    <w:adjustRightInd w:val="0"/>
                    <w:snapToGrid w:val="0"/>
                    <w:jc w:val="center"/>
                    <w:rPr>
                      <w:b/>
                      <w:color w:val="auto"/>
                    </w:rPr>
                  </w:pPr>
                  <w:r>
                    <w:rPr>
                      <w:b/>
                      <w:color w:val="auto"/>
                    </w:rPr>
                    <w:t>执行标准</w:t>
                  </w:r>
                </w:p>
              </w:tc>
            </w:tr>
            <w:tr w14:paraId="391EC1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736" w:type="dxa"/>
                  <w:vAlign w:val="center"/>
                </w:tcPr>
                <w:p w14:paraId="7DC67579">
                  <w:pPr>
                    <w:widowControl w:val="0"/>
                    <w:overflowPunct w:val="0"/>
                    <w:autoSpaceDE w:val="0"/>
                    <w:autoSpaceDN w:val="0"/>
                    <w:snapToGrid w:val="0"/>
                    <w:jc w:val="center"/>
                    <w:rPr>
                      <w:color w:val="auto"/>
                    </w:rPr>
                  </w:pPr>
                  <w:r>
                    <w:rPr>
                      <w:rFonts w:hint="eastAsia"/>
                      <w:color w:val="auto"/>
                    </w:rPr>
                    <w:t>厂界</w:t>
                  </w:r>
                </w:p>
              </w:tc>
              <w:tc>
                <w:tcPr>
                  <w:tcW w:w="2632" w:type="dxa"/>
                  <w:vAlign w:val="center"/>
                </w:tcPr>
                <w:p w14:paraId="419597EC">
                  <w:pPr>
                    <w:widowControl w:val="0"/>
                    <w:overflowPunct w:val="0"/>
                    <w:autoSpaceDE w:val="0"/>
                    <w:autoSpaceDN w:val="0"/>
                    <w:snapToGrid w:val="0"/>
                    <w:jc w:val="center"/>
                    <w:rPr>
                      <w:color w:val="auto"/>
                    </w:rPr>
                  </w:pPr>
                  <w:r>
                    <w:rPr>
                      <w:snapToGrid w:val="0"/>
                      <w:color w:val="auto"/>
                    </w:rPr>
                    <w:t>1次/季度</w:t>
                  </w:r>
                  <w:r>
                    <w:rPr>
                      <w:rFonts w:hint="eastAsia"/>
                      <w:snapToGrid w:val="0"/>
                      <w:color w:val="auto"/>
                    </w:rPr>
                    <w:t>（监测昼夜噪声）</w:t>
                  </w:r>
                </w:p>
              </w:tc>
              <w:tc>
                <w:tcPr>
                  <w:tcW w:w="3751" w:type="dxa"/>
                  <w:vAlign w:val="center"/>
                </w:tcPr>
                <w:p w14:paraId="22F2010B">
                  <w:pPr>
                    <w:widowControl w:val="0"/>
                    <w:overflowPunct w:val="0"/>
                    <w:autoSpaceDE w:val="0"/>
                    <w:autoSpaceDN w:val="0"/>
                    <w:snapToGrid w:val="0"/>
                    <w:jc w:val="center"/>
                    <w:rPr>
                      <w:color w:val="auto"/>
                    </w:rPr>
                  </w:pPr>
                  <w:r>
                    <w:rPr>
                      <w:color w:val="auto"/>
                    </w:rPr>
                    <w:t>《工业企业厂界环境噪声排放标准》</w:t>
                  </w:r>
                  <w:r>
                    <w:rPr>
                      <w:rFonts w:hint="eastAsia"/>
                      <w:color w:val="auto"/>
                    </w:rPr>
                    <w:t>(</w:t>
                  </w:r>
                  <w:r>
                    <w:rPr>
                      <w:color w:val="auto"/>
                    </w:rPr>
                    <w:t>GB12348-2008</w:t>
                  </w:r>
                  <w:r>
                    <w:rPr>
                      <w:rFonts w:hint="eastAsia"/>
                      <w:color w:val="auto"/>
                    </w:rPr>
                    <w:t>)3</w:t>
                  </w:r>
                  <w:r>
                    <w:rPr>
                      <w:color w:val="auto"/>
                    </w:rPr>
                    <w:t>类区标准</w:t>
                  </w:r>
                </w:p>
              </w:tc>
            </w:tr>
          </w:tbl>
          <w:p w14:paraId="58665AF2">
            <w:pPr>
              <w:pStyle w:val="7"/>
              <w:rPr>
                <w:color w:val="auto"/>
              </w:rPr>
            </w:pPr>
            <w:r>
              <w:rPr>
                <w:rFonts w:hint="eastAsia"/>
                <w:color w:val="auto"/>
              </w:rPr>
              <w:t>四、固体废物</w:t>
            </w:r>
          </w:p>
          <w:p w14:paraId="32E98553">
            <w:pPr>
              <w:pStyle w:val="3"/>
              <w:ind w:firstLine="482"/>
              <w:rPr>
                <w:b/>
                <w:bCs/>
                <w:color w:val="auto"/>
              </w:rPr>
            </w:pPr>
            <w:r>
              <w:rPr>
                <w:rFonts w:hint="eastAsia"/>
                <w:b/>
                <w:bCs/>
                <w:color w:val="auto"/>
              </w:rPr>
              <w:t>1、固体废物产生及处置情况</w:t>
            </w:r>
          </w:p>
          <w:p w14:paraId="10A8DDCB">
            <w:pPr>
              <w:pStyle w:val="3"/>
              <w:ind w:firstLine="480"/>
              <w:rPr>
                <w:color w:val="auto"/>
              </w:rPr>
            </w:pPr>
            <w:r>
              <w:rPr>
                <w:rFonts w:hint="eastAsia"/>
                <w:color w:val="auto"/>
              </w:rPr>
              <w:t>1、固体废物产生及处置情况</w:t>
            </w:r>
          </w:p>
          <w:p w14:paraId="3EE5ADFE">
            <w:pPr>
              <w:pStyle w:val="3"/>
              <w:ind w:firstLine="480"/>
              <w:rPr>
                <w:color w:val="auto"/>
              </w:rPr>
            </w:pPr>
            <w:r>
              <w:rPr>
                <w:rFonts w:hint="eastAsia"/>
                <w:color w:val="auto"/>
              </w:rPr>
              <w:t>项目产生的固体废物为</w:t>
            </w:r>
            <w:bookmarkStart w:id="225" w:name="OLE_LINK260"/>
            <w:bookmarkStart w:id="226" w:name="OLE_LINK285"/>
            <w:r>
              <w:rPr>
                <w:rFonts w:hint="eastAsia"/>
                <w:color w:val="auto"/>
              </w:rPr>
              <w:t>S1除尘灰、S2炉渣、S3废离子交换树脂</w:t>
            </w:r>
            <w:bookmarkEnd w:id="225"/>
            <w:r>
              <w:rPr>
                <w:rFonts w:hint="eastAsia"/>
                <w:color w:val="auto"/>
              </w:rPr>
              <w:t>、S4</w:t>
            </w:r>
            <w:bookmarkStart w:id="227" w:name="OLE_LINK266"/>
            <w:r>
              <w:rPr>
                <w:rFonts w:hint="eastAsia"/>
                <w:color w:val="auto"/>
              </w:rPr>
              <w:t>废布袋</w:t>
            </w:r>
            <w:bookmarkEnd w:id="226"/>
            <w:bookmarkEnd w:id="227"/>
            <w:r>
              <w:rPr>
                <w:rFonts w:hint="eastAsia"/>
                <w:color w:val="auto"/>
              </w:rPr>
              <w:t>、S5废润滑油及废油桶、S6废含油抹布、S7生活垃圾。</w:t>
            </w:r>
          </w:p>
          <w:p w14:paraId="5D2155D3">
            <w:pPr>
              <w:pStyle w:val="3"/>
              <w:ind w:firstLine="480"/>
              <w:rPr>
                <w:color w:val="auto"/>
              </w:rPr>
            </w:pPr>
            <w:r>
              <w:rPr>
                <w:rFonts w:hint="eastAsia"/>
                <w:color w:val="auto"/>
              </w:rPr>
              <w:t>①S1</w:t>
            </w:r>
            <w:bookmarkStart w:id="228" w:name="OLE_LINK261"/>
            <w:r>
              <w:rPr>
                <w:rFonts w:hint="eastAsia"/>
                <w:color w:val="auto"/>
              </w:rPr>
              <w:t>除尘灰</w:t>
            </w:r>
            <w:bookmarkEnd w:id="228"/>
          </w:p>
          <w:p w14:paraId="42CA1200">
            <w:pPr>
              <w:pStyle w:val="3"/>
              <w:ind w:firstLine="480"/>
              <w:rPr>
                <w:color w:val="auto"/>
              </w:rPr>
            </w:pPr>
            <w:r>
              <w:rPr>
                <w:rFonts w:hint="eastAsia"/>
                <w:color w:val="auto"/>
              </w:rPr>
              <w:t>生物质燃料燃烧过程中将会有烟尘产生，烟尘经陶瓷多管旋风除尘器及布袋除尘器处理后，大部分烟尘被除尘器收集，形成除尘灰。根据前文，颗粒物产生量为12.67t/a，排放量为0.127t/a，则除尘灰的收集量为12.5 t/a。除尘灰为生物质燃料在高温下气化的杂质，主要成分为农林废弃物灰烬，含有碳、钠、硅、钾、镁等元素，为一般工业固废，收集后外运做农肥。</w:t>
            </w:r>
          </w:p>
          <w:p w14:paraId="4C1274F4">
            <w:pPr>
              <w:pStyle w:val="3"/>
              <w:ind w:firstLine="480"/>
              <w:rPr>
                <w:color w:val="auto"/>
              </w:rPr>
            </w:pPr>
            <w:r>
              <w:rPr>
                <w:rFonts w:hint="eastAsia"/>
                <w:color w:val="auto"/>
              </w:rPr>
              <w:t>②S2炉渣</w:t>
            </w:r>
          </w:p>
          <w:p w14:paraId="0392E749">
            <w:pPr>
              <w:pStyle w:val="3"/>
              <w:ind w:firstLine="480"/>
              <w:rPr>
                <w:color w:val="auto"/>
              </w:rPr>
            </w:pPr>
            <w:r>
              <w:rPr>
                <w:rFonts w:hint="eastAsia"/>
                <w:color w:val="auto"/>
              </w:rPr>
              <w:t>根据《污染源源强核算技术指南锅炉》(HJ991-2018)，生物质燃烧后的炉渣产生量可根据灰渣平衡计算。</w:t>
            </w:r>
          </w:p>
          <w:p w14:paraId="4FC36C16">
            <w:pPr>
              <w:pStyle w:val="51"/>
              <w:rPr>
                <w:color w:val="auto"/>
              </w:rPr>
            </w:pPr>
            <w:r>
              <w:rPr>
                <w:color w:val="auto"/>
              </w:rPr>
              <w:drawing>
                <wp:inline distT="0" distB="0" distL="0" distR="0">
                  <wp:extent cx="2190750" cy="487680"/>
                  <wp:effectExtent l="0" t="0" r="0" b="7620"/>
                  <wp:docPr id="7038494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849462" name="图片 1"/>
                          <pic:cNvPicPr>
                            <a:picLocks noChangeAspect="1"/>
                          </pic:cNvPicPr>
                        </pic:nvPicPr>
                        <pic:blipFill>
                          <a:blip r:embed="rId25"/>
                          <a:stretch>
                            <a:fillRect/>
                          </a:stretch>
                        </pic:blipFill>
                        <pic:spPr>
                          <a:xfrm>
                            <a:off x="0" y="0"/>
                            <a:ext cx="2191284" cy="488037"/>
                          </a:xfrm>
                          <a:prstGeom prst="rect">
                            <a:avLst/>
                          </a:prstGeom>
                        </pic:spPr>
                      </pic:pic>
                    </a:graphicData>
                  </a:graphic>
                </wp:inline>
              </w:drawing>
            </w:r>
          </w:p>
          <w:p w14:paraId="3A1EA455">
            <w:pPr>
              <w:pStyle w:val="3"/>
              <w:ind w:firstLine="480"/>
              <w:rPr>
                <w:color w:val="auto"/>
              </w:rPr>
            </w:pPr>
            <w:r>
              <w:rPr>
                <w:rFonts w:hint="eastAsia"/>
                <w:color w:val="auto"/>
              </w:rPr>
              <w:t>式中：E</w:t>
            </w:r>
            <w:r>
              <w:rPr>
                <w:rFonts w:hint="eastAsia"/>
                <w:color w:val="auto"/>
                <w:vertAlign w:val="subscript"/>
              </w:rPr>
              <w:t>hz</w:t>
            </w:r>
            <w:r>
              <w:rPr>
                <w:rFonts w:hint="eastAsia"/>
                <w:color w:val="auto"/>
              </w:rPr>
              <w:t>一核算时段内灰渣产生量，t，根据灰分份额可分别核算飞灰、炉渣产生量；</w:t>
            </w:r>
          </w:p>
          <w:p w14:paraId="4493185C">
            <w:pPr>
              <w:pStyle w:val="3"/>
              <w:ind w:firstLine="480"/>
              <w:rPr>
                <w:color w:val="auto"/>
              </w:rPr>
            </w:pPr>
            <w:r>
              <w:rPr>
                <w:rFonts w:hint="eastAsia"/>
                <w:color w:val="auto"/>
              </w:rPr>
              <w:t>R一核算时段内锅炉燃料耗量，t；</w:t>
            </w:r>
          </w:p>
          <w:p w14:paraId="5A1A6633">
            <w:pPr>
              <w:pStyle w:val="3"/>
              <w:ind w:firstLine="480"/>
              <w:rPr>
                <w:color w:val="auto"/>
              </w:rPr>
            </w:pPr>
            <w:r>
              <w:rPr>
                <w:rFonts w:hint="eastAsia"/>
                <w:color w:val="auto"/>
              </w:rPr>
              <w:t>A</w:t>
            </w:r>
            <w:r>
              <w:rPr>
                <w:rFonts w:hint="eastAsia"/>
                <w:color w:val="auto"/>
                <w:vertAlign w:val="subscript"/>
              </w:rPr>
              <w:t>ar</w:t>
            </w:r>
            <w:r>
              <w:rPr>
                <w:rFonts w:hint="eastAsia"/>
                <w:color w:val="auto"/>
              </w:rPr>
              <w:t>一收到基灰分的质量分数，%；</w:t>
            </w:r>
          </w:p>
          <w:p w14:paraId="41CF9821">
            <w:pPr>
              <w:pStyle w:val="3"/>
              <w:ind w:firstLine="480"/>
              <w:rPr>
                <w:color w:val="auto"/>
              </w:rPr>
            </w:pPr>
            <w:r>
              <w:rPr>
                <w:rFonts w:hint="eastAsia"/>
                <w:color w:val="auto"/>
              </w:rPr>
              <w:t>q</w:t>
            </w:r>
            <w:r>
              <w:rPr>
                <w:rFonts w:hint="eastAsia"/>
                <w:color w:val="auto"/>
                <w:vertAlign w:val="subscript"/>
              </w:rPr>
              <w:t>4</w:t>
            </w:r>
            <w:r>
              <w:rPr>
                <w:rFonts w:hint="eastAsia"/>
                <w:color w:val="auto"/>
              </w:rPr>
              <w:t>一</w:t>
            </w:r>
            <w:bookmarkStart w:id="229" w:name="OLE_LINK262"/>
            <w:r>
              <w:rPr>
                <w:rFonts w:hint="eastAsia"/>
                <w:color w:val="auto"/>
              </w:rPr>
              <w:t>锅炉机械不完全燃烧热损失</w:t>
            </w:r>
            <w:bookmarkEnd w:id="229"/>
            <w:r>
              <w:rPr>
                <w:rFonts w:hint="eastAsia"/>
                <w:color w:val="auto"/>
              </w:rPr>
              <w:t>，%；</w:t>
            </w:r>
          </w:p>
          <w:p w14:paraId="0E093EE7">
            <w:pPr>
              <w:pStyle w:val="3"/>
              <w:ind w:firstLine="480"/>
              <w:rPr>
                <w:color w:val="auto"/>
              </w:rPr>
            </w:pPr>
            <w:r>
              <w:rPr>
                <w:rFonts w:hint="eastAsia"/>
                <w:color w:val="auto"/>
              </w:rPr>
              <w:t>Q</w:t>
            </w:r>
            <w:r>
              <w:rPr>
                <w:rFonts w:hint="eastAsia"/>
                <w:color w:val="auto"/>
                <w:vertAlign w:val="subscript"/>
              </w:rPr>
              <w:t>net,ar</w:t>
            </w:r>
            <w:r>
              <w:rPr>
                <w:rFonts w:hint="eastAsia"/>
                <w:color w:val="auto"/>
              </w:rPr>
              <w:t>一收到基低位发热量，kJ/kg。</w:t>
            </w:r>
          </w:p>
          <w:p w14:paraId="1BB04B7C">
            <w:pPr>
              <w:pStyle w:val="3"/>
              <w:ind w:firstLine="480"/>
              <w:rPr>
                <w:color w:val="auto"/>
              </w:rPr>
            </w:pPr>
            <w:r>
              <w:rPr>
                <w:rFonts w:hint="eastAsia"/>
                <w:color w:val="auto"/>
              </w:rPr>
              <w:t>本项目锅炉燃料用量25344t/a，根据建设单位提供的成型生物质颗粒资料，收到基灰分的质量分数以1.98%计，收到基低位发热量为4056Kcal/kg，锅炉机械不完全燃烧热损失取5%。则灰渣的产生量为1136.13t/a。生物质燃烧后的炉渣经袋装</w:t>
            </w:r>
            <w:bookmarkStart w:id="230" w:name="OLE_LINK265"/>
            <w:r>
              <w:rPr>
                <w:rFonts w:hint="eastAsia"/>
                <w:color w:val="auto"/>
              </w:rPr>
              <w:t>收集后外运做农肥。</w:t>
            </w:r>
            <w:bookmarkEnd w:id="230"/>
          </w:p>
          <w:p w14:paraId="2BB1A83D">
            <w:pPr>
              <w:pStyle w:val="3"/>
              <w:ind w:firstLine="480"/>
              <w:rPr>
                <w:color w:val="auto"/>
              </w:rPr>
            </w:pPr>
            <w:r>
              <w:rPr>
                <w:rFonts w:hint="eastAsia"/>
                <w:color w:val="auto"/>
              </w:rPr>
              <w:t>③S3</w:t>
            </w:r>
            <w:bookmarkStart w:id="231" w:name="OLE_LINK263"/>
            <w:r>
              <w:rPr>
                <w:rFonts w:hint="eastAsia"/>
                <w:color w:val="auto"/>
              </w:rPr>
              <w:t>废</w:t>
            </w:r>
            <w:bookmarkEnd w:id="231"/>
            <w:r>
              <w:rPr>
                <w:rFonts w:hint="eastAsia"/>
                <w:color w:val="auto"/>
              </w:rPr>
              <w:t>离子交换树脂</w:t>
            </w:r>
          </w:p>
          <w:p w14:paraId="02E75AD6">
            <w:pPr>
              <w:pStyle w:val="3"/>
              <w:ind w:firstLine="480"/>
              <w:rPr>
                <w:color w:val="auto"/>
              </w:rPr>
            </w:pPr>
            <w:r>
              <w:rPr>
                <w:rFonts w:hint="eastAsia"/>
                <w:color w:val="auto"/>
              </w:rPr>
              <w:t>锅炉所需的软水在制备过程中，所使用的树脂交换位置均被水中的钙和镁占据后，会产生废离子交换树脂，属一般固废。本项目</w:t>
            </w:r>
            <w:bookmarkStart w:id="232" w:name="OLE_LINK264"/>
            <w:r>
              <w:rPr>
                <w:rFonts w:hint="eastAsia"/>
                <w:color w:val="auto"/>
              </w:rPr>
              <w:t>废</w:t>
            </w:r>
            <w:bookmarkEnd w:id="232"/>
            <w:r>
              <w:rPr>
                <w:rFonts w:hint="eastAsia"/>
                <w:color w:val="auto"/>
              </w:rPr>
              <w:t>离子交换树脂预计1年更换1次，产生量约0.5t/次。废离子交换树脂</w:t>
            </w:r>
            <w:bookmarkStart w:id="233" w:name="OLE_LINK270"/>
            <w:r>
              <w:rPr>
                <w:rFonts w:hint="eastAsia"/>
                <w:color w:val="auto"/>
              </w:rPr>
              <w:t>收集后外售给物资单位</w:t>
            </w:r>
            <w:bookmarkEnd w:id="233"/>
            <w:r>
              <w:rPr>
                <w:rFonts w:hint="eastAsia"/>
                <w:color w:val="auto"/>
              </w:rPr>
              <w:t>综合利用。</w:t>
            </w:r>
          </w:p>
          <w:p w14:paraId="38C04F3C">
            <w:pPr>
              <w:pStyle w:val="3"/>
              <w:ind w:firstLine="480"/>
              <w:rPr>
                <w:color w:val="auto"/>
              </w:rPr>
            </w:pPr>
            <w:r>
              <w:rPr>
                <w:rFonts w:hint="eastAsia"/>
                <w:color w:val="auto"/>
              </w:rPr>
              <w:t>④S4废布袋</w:t>
            </w:r>
          </w:p>
          <w:p w14:paraId="513DB5FD">
            <w:pPr>
              <w:pStyle w:val="3"/>
              <w:ind w:firstLine="480"/>
              <w:rPr>
                <w:color w:val="auto"/>
              </w:rPr>
            </w:pPr>
            <w:r>
              <w:rPr>
                <w:rFonts w:hint="eastAsia"/>
                <w:color w:val="auto"/>
              </w:rPr>
              <w:t>本项目袋式除尘器平均2年更换一次布袋，袋式除尘器中有20个滤袋，每个滤袋重约10kg，则更换产生的废滤袋量为0.1t/a。</w:t>
            </w:r>
          </w:p>
          <w:p w14:paraId="39424E94">
            <w:pPr>
              <w:pStyle w:val="3"/>
              <w:ind w:firstLine="480"/>
              <w:rPr>
                <w:color w:val="auto"/>
              </w:rPr>
            </w:pPr>
            <w:r>
              <w:rPr>
                <w:rFonts w:hint="eastAsia"/>
                <w:color w:val="auto"/>
              </w:rPr>
              <w:t>⑤</w:t>
            </w:r>
            <w:bookmarkStart w:id="234" w:name="OLE_LINK1"/>
            <w:r>
              <w:rPr>
                <w:rFonts w:hint="eastAsia"/>
                <w:color w:val="auto"/>
              </w:rPr>
              <w:t>S5废润滑油及废油桶</w:t>
            </w:r>
            <w:bookmarkEnd w:id="234"/>
          </w:p>
          <w:p w14:paraId="4331B90D">
            <w:pPr>
              <w:pStyle w:val="3"/>
              <w:ind w:firstLine="480"/>
              <w:rPr>
                <w:color w:val="auto"/>
              </w:rPr>
            </w:pPr>
            <w:r>
              <w:rPr>
                <w:rFonts w:hint="eastAsia"/>
                <w:color w:val="auto"/>
              </w:rPr>
              <w:t>项目锅炉及相关设备运行过程中会定期进行保养，保养需要用到润滑油，使用过程会产生一定量的废润滑油及废油桶，</w:t>
            </w:r>
            <w:bookmarkStart w:id="235" w:name="OLE_LINK89"/>
            <w:r>
              <w:rPr>
                <w:rFonts w:hint="eastAsia"/>
                <w:color w:val="auto"/>
              </w:rPr>
              <w:t>产生量约为 0.05t/a，</w:t>
            </w:r>
            <w:bookmarkEnd w:id="235"/>
            <w:bookmarkStart w:id="236" w:name="OLE_LINK40"/>
            <w:r>
              <w:rPr>
                <w:rFonts w:hint="eastAsia"/>
                <w:color w:val="auto"/>
              </w:rPr>
              <w:t>属于危险废物，危废类别为HW08废矿物油与含矿物油废物，危废代码为</w:t>
            </w:r>
            <w:bookmarkStart w:id="237" w:name="OLE_LINK2"/>
            <w:r>
              <w:rPr>
                <w:rFonts w:hint="eastAsia"/>
                <w:color w:val="auto"/>
              </w:rPr>
              <w:t>900-249-08</w:t>
            </w:r>
            <w:bookmarkEnd w:id="236"/>
            <w:bookmarkEnd w:id="237"/>
            <w:r>
              <w:rPr>
                <w:rFonts w:hint="eastAsia"/>
                <w:color w:val="auto"/>
              </w:rPr>
              <w:t>（其他生产、销售、使用过程中产生的废矿物油及沾染矿物油的废弃包装物），</w:t>
            </w:r>
            <w:bookmarkStart w:id="238" w:name="OLE_LINK72"/>
            <w:r>
              <w:rPr>
                <w:rFonts w:hint="eastAsia"/>
                <w:color w:val="auto"/>
              </w:rPr>
              <w:t>集中收集后暂存危废暂存间，委托有资质单位处置。</w:t>
            </w:r>
            <w:bookmarkEnd w:id="238"/>
          </w:p>
          <w:p w14:paraId="3F6418C3">
            <w:pPr>
              <w:pStyle w:val="3"/>
              <w:ind w:firstLine="480"/>
              <w:rPr>
                <w:color w:val="auto"/>
              </w:rPr>
            </w:pPr>
            <w:r>
              <w:rPr>
                <w:rFonts w:hint="eastAsia"/>
                <w:color w:val="auto"/>
              </w:rPr>
              <w:t>⑥S6废含油抹布</w:t>
            </w:r>
          </w:p>
          <w:p w14:paraId="49FAB629">
            <w:pPr>
              <w:pStyle w:val="3"/>
              <w:ind w:firstLine="480"/>
              <w:rPr>
                <w:color w:val="auto"/>
              </w:rPr>
            </w:pPr>
            <w:r>
              <w:rPr>
                <w:rFonts w:hint="eastAsia"/>
                <w:color w:val="auto"/>
              </w:rPr>
              <w:t>设备维护保养过程会产生一定量的废含油抹布，产生量约为 0.01t/a，属于危险废物，危废类别为</w:t>
            </w:r>
            <w:r>
              <w:rPr>
                <w:color w:val="auto"/>
              </w:rPr>
              <w:t>HW0</w:t>
            </w:r>
            <w:r>
              <w:rPr>
                <w:rFonts w:hint="eastAsia"/>
                <w:color w:val="auto"/>
              </w:rPr>
              <w:t>9其他废物，危废代码为</w:t>
            </w:r>
            <w:bookmarkStart w:id="239" w:name="OLE_LINK50"/>
            <w:r>
              <w:rPr>
                <w:color w:val="auto"/>
              </w:rPr>
              <w:t>900-041-49</w:t>
            </w:r>
            <w:bookmarkEnd w:id="239"/>
            <w:r>
              <w:rPr>
                <w:rFonts w:hint="eastAsia"/>
                <w:color w:val="auto"/>
              </w:rPr>
              <w:t>，集中收集后暂存危废暂存间，委托有资质单位处置。</w:t>
            </w:r>
          </w:p>
          <w:p w14:paraId="7EEDBC9D">
            <w:pPr>
              <w:pStyle w:val="3"/>
              <w:ind w:firstLine="480"/>
              <w:rPr>
                <w:color w:val="auto"/>
              </w:rPr>
            </w:pPr>
            <w:r>
              <w:rPr>
                <w:rFonts w:hint="eastAsia"/>
                <w:color w:val="auto"/>
              </w:rPr>
              <w:t>⑦S7生活垃圾</w:t>
            </w:r>
          </w:p>
          <w:p w14:paraId="564CD8D1">
            <w:pPr>
              <w:pStyle w:val="3"/>
              <w:ind w:firstLine="480"/>
              <w:rPr>
                <w:color w:val="auto"/>
              </w:rPr>
            </w:pPr>
            <w:r>
              <w:rPr>
                <w:rFonts w:hint="eastAsia"/>
                <w:color w:val="auto"/>
              </w:rPr>
              <w:t>本项目全厂劳动定员为20人，年工作330天，生活垃圾按每人每天0.5kg计。则生活垃圾产生量3.3t/a。交由环卫部门处置。</w:t>
            </w:r>
          </w:p>
          <w:p w14:paraId="5A98BFD9">
            <w:pPr>
              <w:pStyle w:val="3"/>
              <w:ind w:firstLine="480"/>
              <w:rPr>
                <w:color w:val="auto"/>
              </w:rPr>
            </w:pPr>
            <w:r>
              <w:rPr>
                <w:rFonts w:hint="eastAsia"/>
                <w:color w:val="auto"/>
              </w:rPr>
              <w:t>固体废物的产生情况见下表，固废代码根据《固体废物分类与代码目录（2024）》以及《国家危险废物名录（2025年版）确定。</w:t>
            </w:r>
          </w:p>
          <w:p w14:paraId="3B59F4EA">
            <w:pPr>
              <w:pStyle w:val="49"/>
              <w:rPr>
                <w:color w:val="auto"/>
              </w:rPr>
            </w:pPr>
            <w:bookmarkStart w:id="240" w:name="_Ref192750457"/>
            <w:bookmarkStart w:id="241" w:name="_Ref176914655"/>
            <w:r>
              <w:rPr>
                <w:rFonts w:hint="eastAsia"/>
                <w:color w:val="auto"/>
              </w:rPr>
              <w:t xml:space="preserve">表4- </w:t>
            </w:r>
            <w:r>
              <w:rPr>
                <w:color w:val="auto"/>
              </w:rPr>
              <w:t>13</w:t>
            </w:r>
            <w:bookmarkEnd w:id="240"/>
            <w:r>
              <w:rPr>
                <w:rFonts w:hint="eastAsia"/>
                <w:color w:val="auto"/>
              </w:rPr>
              <w:t>：项目固体废物的产生情况汇总</w:t>
            </w:r>
            <w:bookmarkEnd w:id="241"/>
          </w:p>
          <w:tbl>
            <w:tblPr>
              <w:tblStyle w:val="50"/>
              <w:tblW w:w="794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1257"/>
              <w:gridCol w:w="971"/>
              <w:gridCol w:w="2137"/>
              <w:gridCol w:w="898"/>
              <w:gridCol w:w="797"/>
              <w:gridCol w:w="797"/>
              <w:gridCol w:w="1086"/>
            </w:tblGrid>
            <w:tr w14:paraId="2493C0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257" w:type="dxa"/>
                  <w:tcBorders>
                    <w:top w:val="single" w:color="auto" w:sz="12" w:space="0"/>
                    <w:left w:val="nil"/>
                    <w:bottom w:val="single" w:color="auto" w:sz="12" w:space="0"/>
                    <w:right w:val="single" w:color="auto" w:sz="4" w:space="0"/>
                    <w:insideH w:val="single" w:sz="12" w:space="0"/>
                    <w:insideV w:val="single" w:sz="4" w:space="0"/>
                    <w:tl2br w:val="nil"/>
                    <w:tr2bl w:val="nil"/>
                  </w:tcBorders>
                  <w:vAlign w:val="center"/>
                </w:tcPr>
                <w:p w14:paraId="06E12600">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sz w:val="21"/>
                      <w:szCs w:val="21"/>
                      <w14:ligatures w14:val="standardContextual"/>
                    </w:rPr>
                  </w:pPr>
                  <w:r>
                    <w:rPr>
                      <w:rFonts w:hint="default" w:ascii="Times New Roman" w:hAnsi="Times New Roman" w:eastAsia="宋体" w:cs="Times New Roman"/>
                      <w:b/>
                      <w:i w:val="0"/>
                      <w:color w:val="auto"/>
                      <w:sz w:val="21"/>
                      <w:szCs w:val="21"/>
                      <w14:ligatures w14:val="standardContextual"/>
                    </w:rPr>
                    <w:t>固废名称</w:t>
                  </w:r>
                </w:p>
              </w:tc>
              <w:tc>
                <w:tcPr>
                  <w:tcW w:w="971" w:type="dxa"/>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067B7B7C">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sz w:val="21"/>
                      <w:szCs w:val="21"/>
                      <w14:ligatures w14:val="standardContextual"/>
                    </w:rPr>
                  </w:pPr>
                  <w:r>
                    <w:rPr>
                      <w:rFonts w:hint="default" w:ascii="Times New Roman" w:hAnsi="Times New Roman" w:eastAsia="宋体" w:cs="Times New Roman"/>
                      <w:b/>
                      <w:i w:val="0"/>
                      <w:color w:val="auto"/>
                      <w:sz w:val="21"/>
                      <w:szCs w:val="21"/>
                      <w14:ligatures w14:val="standardContextual"/>
                    </w:rPr>
                    <w:t>固废类型</w:t>
                  </w:r>
                </w:p>
              </w:tc>
              <w:tc>
                <w:tcPr>
                  <w:tcW w:w="2137" w:type="dxa"/>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4A3D0157">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sz w:val="21"/>
                      <w:szCs w:val="21"/>
                      <w14:ligatures w14:val="standardContextual"/>
                    </w:rPr>
                  </w:pPr>
                  <w:r>
                    <w:rPr>
                      <w:rFonts w:hint="default" w:ascii="Times New Roman" w:hAnsi="Times New Roman" w:eastAsia="宋体" w:cs="Times New Roman"/>
                      <w:b/>
                      <w:i w:val="0"/>
                      <w:color w:val="auto"/>
                      <w:sz w:val="21"/>
                      <w:szCs w:val="21"/>
                      <w14:ligatures w14:val="standardContextual"/>
                    </w:rPr>
                    <w:t>废物类别</w:t>
                  </w:r>
                  <w:r>
                    <w:rPr>
                      <w:rFonts w:hint="eastAsia" w:ascii="Times New Roman" w:hAnsi="Times New Roman" w:eastAsia="宋体" w:cs="Times New Roman"/>
                      <w:b/>
                      <w:i w:val="0"/>
                      <w:color w:val="auto"/>
                      <w:sz w:val="21"/>
                      <w:szCs w:val="21"/>
                      <w14:ligatures w14:val="standardContextual"/>
                    </w:rPr>
                    <w:t>及代码</w:t>
                  </w:r>
                </w:p>
              </w:tc>
              <w:tc>
                <w:tcPr>
                  <w:tcW w:w="898" w:type="dxa"/>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5B7302C3">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sz w:val="21"/>
                      <w:szCs w:val="21"/>
                      <w14:ligatures w14:val="standardContextual"/>
                    </w:rPr>
                  </w:pPr>
                  <w:r>
                    <w:rPr>
                      <w:rFonts w:hint="default" w:ascii="Times New Roman" w:hAnsi="Times New Roman" w:eastAsia="宋体" w:cs="Times New Roman"/>
                      <w:b/>
                      <w:i w:val="0"/>
                      <w:color w:val="auto"/>
                      <w:sz w:val="21"/>
                      <w:szCs w:val="21"/>
                      <w14:ligatures w14:val="standardContextual"/>
                    </w:rPr>
                    <w:t>物理</w:t>
                  </w:r>
                </w:p>
                <w:p w14:paraId="663DCBC7">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sz w:val="21"/>
                      <w:szCs w:val="21"/>
                      <w14:ligatures w14:val="standardContextual"/>
                    </w:rPr>
                  </w:pPr>
                  <w:r>
                    <w:rPr>
                      <w:rFonts w:hint="default" w:ascii="Times New Roman" w:hAnsi="Times New Roman" w:eastAsia="宋体" w:cs="Times New Roman"/>
                      <w:b/>
                      <w:i w:val="0"/>
                      <w:color w:val="auto"/>
                      <w:sz w:val="21"/>
                      <w:szCs w:val="21"/>
                      <w14:ligatures w14:val="standardContextual"/>
                    </w:rPr>
                    <w:t>性状</w:t>
                  </w:r>
                </w:p>
              </w:tc>
              <w:tc>
                <w:tcPr>
                  <w:tcW w:w="797" w:type="dxa"/>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1102201F">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val="0"/>
                      <w:i w:val="0"/>
                      <w:color w:val="auto"/>
                      <w:sz w:val="21"/>
                      <w:szCs w:val="21"/>
                      <w14:ligatures w14:val="standardContextual"/>
                    </w:rPr>
                  </w:pPr>
                  <w:r>
                    <w:rPr>
                      <w:rFonts w:hint="default" w:ascii="Times New Roman" w:hAnsi="Times New Roman" w:eastAsia="宋体" w:cs="Times New Roman"/>
                      <w:b/>
                      <w:i w:val="0"/>
                      <w:color w:val="auto"/>
                      <w:sz w:val="21"/>
                      <w:szCs w:val="21"/>
                      <w14:ligatures w14:val="standardContextual"/>
                    </w:rPr>
                    <w:t>产生量t/a</w:t>
                  </w:r>
                </w:p>
              </w:tc>
              <w:tc>
                <w:tcPr>
                  <w:tcW w:w="797" w:type="dxa"/>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512068A4">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sz w:val="21"/>
                      <w:szCs w:val="21"/>
                      <w14:ligatures w14:val="standardContextual"/>
                    </w:rPr>
                  </w:pPr>
                  <w:r>
                    <w:rPr>
                      <w:rFonts w:hint="eastAsia" w:ascii="Times New Roman" w:hAnsi="Times New Roman" w:eastAsia="宋体" w:cs="Times New Roman"/>
                      <w:b/>
                      <w:i w:val="0"/>
                      <w:color w:val="auto"/>
                      <w:sz w:val="21"/>
                      <w:szCs w:val="21"/>
                      <w14:ligatures w14:val="standardContextual"/>
                    </w:rPr>
                    <w:t>处置量</w:t>
                  </w:r>
                  <w:r>
                    <w:rPr>
                      <w:rFonts w:hint="default" w:ascii="Times New Roman" w:hAnsi="Times New Roman" w:eastAsia="宋体" w:cs="Times New Roman"/>
                      <w:b/>
                      <w:i w:val="0"/>
                      <w:color w:val="auto"/>
                      <w:sz w:val="21"/>
                      <w:szCs w:val="21"/>
                      <w14:ligatures w14:val="standardContextual"/>
                    </w:rPr>
                    <w:t>t/a</w:t>
                  </w:r>
                </w:p>
              </w:tc>
              <w:tc>
                <w:tcPr>
                  <w:tcW w:w="1086" w:type="dxa"/>
                  <w:tcBorders>
                    <w:top w:val="single" w:color="auto" w:sz="12" w:space="0"/>
                    <w:bottom w:val="single" w:color="auto" w:sz="12" w:space="0"/>
                    <w:right w:val="nil"/>
                    <w:insideH w:val="single" w:sz="12" w:space="0"/>
                    <w:insideV w:val="single" w:sz="4" w:space="0"/>
                    <w:tl2br w:val="nil"/>
                    <w:tr2bl w:val="nil"/>
                  </w:tcBorders>
                  <w:vAlign w:val="center"/>
                </w:tcPr>
                <w:p w14:paraId="3CA1811B">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sz w:val="21"/>
                      <w:szCs w:val="21"/>
                      <w14:ligatures w14:val="standardContextual"/>
                    </w:rPr>
                  </w:pPr>
                  <w:r>
                    <w:rPr>
                      <w:rFonts w:hint="default" w:ascii="Times New Roman" w:hAnsi="Times New Roman" w:eastAsia="宋体" w:cs="Times New Roman"/>
                      <w:b/>
                      <w:i w:val="0"/>
                      <w:color w:val="auto"/>
                      <w:sz w:val="21"/>
                      <w:szCs w:val="21"/>
                      <w14:ligatures w14:val="standardContextual"/>
                    </w:rPr>
                    <w:t>处置去向</w:t>
                  </w:r>
                </w:p>
              </w:tc>
            </w:tr>
            <w:tr w14:paraId="69E643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257" w:type="dxa"/>
                  <w:vAlign w:val="center"/>
                </w:tcPr>
                <w:p w14:paraId="2610436A">
                  <w:pPr>
                    <w:widowControl w:val="0"/>
                    <w:overflowPunct w:val="0"/>
                    <w:autoSpaceDE w:val="0"/>
                    <w:autoSpaceDN w:val="0"/>
                    <w:snapToGrid w:val="0"/>
                    <w:jc w:val="center"/>
                    <w:rPr>
                      <w:color w:val="auto"/>
                      <w14:ligatures w14:val="standardContextual"/>
                    </w:rPr>
                  </w:pPr>
                  <w:bookmarkStart w:id="242" w:name="_Hlk191859217"/>
                  <w:r>
                    <w:rPr>
                      <w:rFonts w:hint="eastAsia"/>
                      <w:color w:val="auto"/>
                      <w14:ligatures w14:val="standardContextual"/>
                    </w:rPr>
                    <w:t>S1除尘灰</w:t>
                  </w:r>
                </w:p>
              </w:tc>
              <w:tc>
                <w:tcPr>
                  <w:tcW w:w="971" w:type="dxa"/>
                  <w:vMerge w:val="restart"/>
                  <w:vAlign w:val="center"/>
                </w:tcPr>
                <w:p w14:paraId="58F706CC">
                  <w:pPr>
                    <w:widowControl w:val="0"/>
                    <w:overflowPunct w:val="0"/>
                    <w:autoSpaceDE w:val="0"/>
                    <w:autoSpaceDN w:val="0"/>
                    <w:snapToGrid w:val="0"/>
                    <w:jc w:val="center"/>
                    <w:rPr>
                      <w:color w:val="auto"/>
                      <w14:ligatures w14:val="standardContextual"/>
                    </w:rPr>
                  </w:pPr>
                  <w:r>
                    <w:rPr>
                      <w:rFonts w:hint="eastAsia"/>
                      <w:color w:val="auto"/>
                      <w14:ligatures w14:val="standardContextual"/>
                    </w:rPr>
                    <w:t>一般固废</w:t>
                  </w:r>
                </w:p>
              </w:tc>
              <w:tc>
                <w:tcPr>
                  <w:tcW w:w="2137" w:type="dxa"/>
                  <w:vAlign w:val="center"/>
                </w:tcPr>
                <w:p w14:paraId="17CC94AB">
                  <w:pPr>
                    <w:widowControl w:val="0"/>
                    <w:overflowPunct w:val="0"/>
                    <w:autoSpaceDE w:val="0"/>
                    <w:autoSpaceDN w:val="0"/>
                    <w:snapToGrid w:val="0"/>
                    <w:jc w:val="center"/>
                    <w:rPr>
                      <w:color w:val="auto"/>
                      <w14:ligatures w14:val="standardContextual"/>
                    </w:rPr>
                  </w:pPr>
                  <w:r>
                    <w:rPr>
                      <w:color w:val="auto"/>
                      <w14:ligatures w14:val="standardContextual"/>
                    </w:rPr>
                    <w:t>900-002-S02</w:t>
                  </w:r>
                </w:p>
              </w:tc>
              <w:tc>
                <w:tcPr>
                  <w:tcW w:w="898" w:type="dxa"/>
                  <w:vAlign w:val="center"/>
                </w:tcPr>
                <w:p w14:paraId="500C1A4F">
                  <w:pPr>
                    <w:widowControl w:val="0"/>
                    <w:overflowPunct w:val="0"/>
                    <w:autoSpaceDE w:val="0"/>
                    <w:autoSpaceDN w:val="0"/>
                    <w:snapToGrid w:val="0"/>
                    <w:jc w:val="center"/>
                    <w:rPr>
                      <w:color w:val="auto"/>
                      <w14:ligatures w14:val="standardContextual"/>
                    </w:rPr>
                  </w:pPr>
                  <w:r>
                    <w:rPr>
                      <w:color w:val="auto"/>
                      <w14:ligatures w14:val="standardContextual"/>
                    </w:rPr>
                    <w:t>固态</w:t>
                  </w:r>
                </w:p>
              </w:tc>
              <w:tc>
                <w:tcPr>
                  <w:tcW w:w="797" w:type="dxa"/>
                  <w:vAlign w:val="center"/>
                </w:tcPr>
                <w:p w14:paraId="30B2DE8C">
                  <w:pPr>
                    <w:widowControl w:val="0"/>
                    <w:overflowPunct w:val="0"/>
                    <w:autoSpaceDE w:val="0"/>
                    <w:autoSpaceDN w:val="0"/>
                    <w:snapToGrid w:val="0"/>
                    <w:jc w:val="center"/>
                    <w:rPr>
                      <w:color w:val="auto"/>
                      <w14:ligatures w14:val="standardContextual"/>
                    </w:rPr>
                  </w:pPr>
                  <w:bookmarkStart w:id="243" w:name="OLE_LINK268"/>
                  <w:r>
                    <w:rPr>
                      <w:rFonts w:hint="eastAsia"/>
                      <w:color w:val="auto"/>
                      <w14:ligatures w14:val="standardContextual"/>
                    </w:rPr>
                    <w:t>12.5</w:t>
                  </w:r>
                  <w:bookmarkEnd w:id="243"/>
                </w:p>
              </w:tc>
              <w:tc>
                <w:tcPr>
                  <w:tcW w:w="797" w:type="dxa"/>
                  <w:vAlign w:val="center"/>
                </w:tcPr>
                <w:p w14:paraId="4E899BAC">
                  <w:pPr>
                    <w:widowControl w:val="0"/>
                    <w:overflowPunct w:val="0"/>
                    <w:autoSpaceDE w:val="0"/>
                    <w:autoSpaceDN w:val="0"/>
                    <w:snapToGrid w:val="0"/>
                    <w:jc w:val="center"/>
                    <w:rPr>
                      <w:color w:val="auto"/>
                      <w14:ligatures w14:val="standardContextual"/>
                    </w:rPr>
                  </w:pPr>
                  <w:r>
                    <w:rPr>
                      <w:rFonts w:hint="eastAsia"/>
                      <w:color w:val="auto"/>
                      <w14:ligatures w14:val="standardContextual"/>
                    </w:rPr>
                    <w:t>12.5</w:t>
                  </w:r>
                </w:p>
              </w:tc>
              <w:tc>
                <w:tcPr>
                  <w:tcW w:w="1086" w:type="dxa"/>
                  <w:vMerge w:val="restart"/>
                  <w:vAlign w:val="center"/>
                </w:tcPr>
                <w:p w14:paraId="1A21976A">
                  <w:pPr>
                    <w:widowControl w:val="0"/>
                    <w:overflowPunct w:val="0"/>
                    <w:autoSpaceDE w:val="0"/>
                    <w:autoSpaceDN w:val="0"/>
                    <w:snapToGrid w:val="0"/>
                    <w:jc w:val="center"/>
                    <w:rPr>
                      <w:color w:val="auto"/>
                      <w14:ligatures w14:val="standardContextual"/>
                    </w:rPr>
                  </w:pPr>
                  <w:r>
                    <w:rPr>
                      <w:rFonts w:hint="eastAsia"/>
                      <w:color w:val="auto"/>
                      <w14:ligatures w14:val="standardContextual"/>
                    </w:rPr>
                    <w:t>收集后外运做农肥</w:t>
                  </w:r>
                </w:p>
              </w:tc>
            </w:tr>
            <w:tr w14:paraId="319A1C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257" w:type="dxa"/>
                  <w:vAlign w:val="center"/>
                </w:tcPr>
                <w:p w14:paraId="4511B40C">
                  <w:pPr>
                    <w:widowControl w:val="0"/>
                    <w:overflowPunct w:val="0"/>
                    <w:autoSpaceDE w:val="0"/>
                    <w:autoSpaceDN w:val="0"/>
                    <w:snapToGrid w:val="0"/>
                    <w:jc w:val="center"/>
                    <w:rPr>
                      <w:color w:val="auto"/>
                      <w14:ligatures w14:val="standardContextual"/>
                    </w:rPr>
                  </w:pPr>
                  <w:r>
                    <w:rPr>
                      <w:rFonts w:hint="eastAsia"/>
                      <w:color w:val="auto"/>
                      <w14:ligatures w14:val="standardContextual"/>
                    </w:rPr>
                    <w:t>S2炉渣</w:t>
                  </w:r>
                </w:p>
              </w:tc>
              <w:tc>
                <w:tcPr>
                  <w:tcW w:w="971" w:type="dxa"/>
                  <w:vMerge w:val="continue"/>
                  <w:vAlign w:val="center"/>
                </w:tcPr>
                <w:p w14:paraId="5334FD16">
                  <w:pPr>
                    <w:widowControl w:val="0"/>
                    <w:overflowPunct w:val="0"/>
                    <w:autoSpaceDE w:val="0"/>
                    <w:autoSpaceDN w:val="0"/>
                    <w:snapToGrid w:val="0"/>
                    <w:jc w:val="center"/>
                    <w:rPr>
                      <w:color w:val="auto"/>
                      <w14:ligatures w14:val="standardContextual"/>
                    </w:rPr>
                  </w:pPr>
                </w:p>
              </w:tc>
              <w:tc>
                <w:tcPr>
                  <w:tcW w:w="2137" w:type="dxa"/>
                  <w:vAlign w:val="center"/>
                </w:tcPr>
                <w:p w14:paraId="32DE0ED5">
                  <w:pPr>
                    <w:widowControl w:val="0"/>
                    <w:overflowPunct w:val="0"/>
                    <w:autoSpaceDE w:val="0"/>
                    <w:autoSpaceDN w:val="0"/>
                    <w:snapToGrid w:val="0"/>
                    <w:jc w:val="center"/>
                    <w:rPr>
                      <w:color w:val="auto"/>
                      <w14:ligatures w14:val="standardContextual"/>
                    </w:rPr>
                  </w:pPr>
                  <w:r>
                    <w:rPr>
                      <w:color w:val="auto"/>
                      <w14:ligatures w14:val="standardContextual"/>
                    </w:rPr>
                    <w:t>900-099-S03</w:t>
                  </w:r>
                </w:p>
              </w:tc>
              <w:tc>
                <w:tcPr>
                  <w:tcW w:w="898" w:type="dxa"/>
                  <w:vAlign w:val="center"/>
                </w:tcPr>
                <w:p w14:paraId="0BEBD30E">
                  <w:pPr>
                    <w:widowControl w:val="0"/>
                    <w:overflowPunct w:val="0"/>
                    <w:autoSpaceDE w:val="0"/>
                    <w:autoSpaceDN w:val="0"/>
                    <w:snapToGrid w:val="0"/>
                    <w:jc w:val="center"/>
                    <w:rPr>
                      <w:color w:val="auto"/>
                      <w14:ligatures w14:val="standardContextual"/>
                    </w:rPr>
                  </w:pPr>
                  <w:r>
                    <w:rPr>
                      <w:color w:val="auto"/>
                      <w14:ligatures w14:val="standardContextual"/>
                    </w:rPr>
                    <w:t>固态</w:t>
                  </w:r>
                </w:p>
              </w:tc>
              <w:tc>
                <w:tcPr>
                  <w:tcW w:w="797" w:type="dxa"/>
                  <w:vAlign w:val="center"/>
                </w:tcPr>
                <w:p w14:paraId="710C731C">
                  <w:pPr>
                    <w:widowControl w:val="0"/>
                    <w:overflowPunct w:val="0"/>
                    <w:autoSpaceDE w:val="0"/>
                    <w:autoSpaceDN w:val="0"/>
                    <w:snapToGrid w:val="0"/>
                    <w:jc w:val="center"/>
                    <w:rPr>
                      <w:color w:val="auto"/>
                      <w14:ligatures w14:val="standardContextual"/>
                    </w:rPr>
                  </w:pPr>
                  <w:r>
                    <w:rPr>
                      <w:rFonts w:hint="eastAsia"/>
                      <w:color w:val="auto"/>
                      <w14:ligatures w14:val="standardContextual"/>
                    </w:rPr>
                    <w:t>1136.13</w:t>
                  </w:r>
                </w:p>
              </w:tc>
              <w:tc>
                <w:tcPr>
                  <w:tcW w:w="797" w:type="dxa"/>
                  <w:vAlign w:val="center"/>
                </w:tcPr>
                <w:p w14:paraId="05A8EDC4">
                  <w:pPr>
                    <w:widowControl w:val="0"/>
                    <w:overflowPunct w:val="0"/>
                    <w:autoSpaceDE w:val="0"/>
                    <w:autoSpaceDN w:val="0"/>
                    <w:snapToGrid w:val="0"/>
                    <w:jc w:val="center"/>
                    <w:rPr>
                      <w:color w:val="auto"/>
                      <w14:ligatures w14:val="standardContextual"/>
                    </w:rPr>
                  </w:pPr>
                  <w:r>
                    <w:rPr>
                      <w:rFonts w:hint="eastAsia"/>
                      <w:color w:val="auto"/>
                      <w14:ligatures w14:val="standardContextual"/>
                    </w:rPr>
                    <w:t>1136.13</w:t>
                  </w:r>
                </w:p>
              </w:tc>
              <w:tc>
                <w:tcPr>
                  <w:tcW w:w="1086" w:type="dxa"/>
                  <w:vMerge w:val="continue"/>
                  <w:vAlign w:val="center"/>
                </w:tcPr>
                <w:p w14:paraId="3CB61D98">
                  <w:pPr>
                    <w:widowControl w:val="0"/>
                    <w:overflowPunct w:val="0"/>
                    <w:autoSpaceDE w:val="0"/>
                    <w:autoSpaceDN w:val="0"/>
                    <w:snapToGrid w:val="0"/>
                    <w:jc w:val="center"/>
                    <w:rPr>
                      <w:color w:val="auto"/>
                      <w14:ligatures w14:val="standardContextual"/>
                    </w:rPr>
                  </w:pPr>
                </w:p>
              </w:tc>
            </w:tr>
            <w:tr w14:paraId="7D3B25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257" w:type="dxa"/>
                  <w:vAlign w:val="center"/>
                </w:tcPr>
                <w:p w14:paraId="26FB856C">
                  <w:pPr>
                    <w:widowControl w:val="0"/>
                    <w:overflowPunct w:val="0"/>
                    <w:autoSpaceDE w:val="0"/>
                    <w:autoSpaceDN w:val="0"/>
                    <w:snapToGrid w:val="0"/>
                    <w:jc w:val="center"/>
                    <w:rPr>
                      <w:color w:val="auto"/>
                      <w14:ligatures w14:val="standardContextual"/>
                    </w:rPr>
                  </w:pPr>
                  <w:r>
                    <w:rPr>
                      <w:rFonts w:hint="eastAsia"/>
                      <w:color w:val="auto"/>
                      <w14:ligatures w14:val="standardContextual"/>
                    </w:rPr>
                    <w:t>S3废离子交换树脂</w:t>
                  </w:r>
                </w:p>
              </w:tc>
              <w:tc>
                <w:tcPr>
                  <w:tcW w:w="971" w:type="dxa"/>
                  <w:vMerge w:val="continue"/>
                  <w:vAlign w:val="center"/>
                </w:tcPr>
                <w:p w14:paraId="1A3A537B">
                  <w:pPr>
                    <w:widowControl w:val="0"/>
                    <w:overflowPunct w:val="0"/>
                    <w:autoSpaceDE w:val="0"/>
                    <w:autoSpaceDN w:val="0"/>
                    <w:snapToGrid w:val="0"/>
                    <w:jc w:val="center"/>
                    <w:rPr>
                      <w:color w:val="auto"/>
                      <w14:ligatures w14:val="standardContextual"/>
                    </w:rPr>
                  </w:pPr>
                </w:p>
              </w:tc>
              <w:tc>
                <w:tcPr>
                  <w:tcW w:w="2137" w:type="dxa"/>
                  <w:vAlign w:val="center"/>
                </w:tcPr>
                <w:p w14:paraId="4AA167F4">
                  <w:pPr>
                    <w:widowControl w:val="0"/>
                    <w:overflowPunct w:val="0"/>
                    <w:autoSpaceDE w:val="0"/>
                    <w:autoSpaceDN w:val="0"/>
                    <w:snapToGrid w:val="0"/>
                    <w:jc w:val="center"/>
                    <w:rPr>
                      <w:color w:val="auto"/>
                      <w14:ligatures w14:val="standardContextual"/>
                    </w:rPr>
                  </w:pPr>
                  <w:r>
                    <w:rPr>
                      <w:color w:val="auto"/>
                      <w14:ligatures w14:val="standardContextual"/>
                    </w:rPr>
                    <w:t>900-008-S59</w:t>
                  </w:r>
                </w:p>
              </w:tc>
              <w:tc>
                <w:tcPr>
                  <w:tcW w:w="898" w:type="dxa"/>
                  <w:vAlign w:val="center"/>
                </w:tcPr>
                <w:p w14:paraId="2D1DE66A">
                  <w:pPr>
                    <w:widowControl w:val="0"/>
                    <w:overflowPunct w:val="0"/>
                    <w:autoSpaceDE w:val="0"/>
                    <w:autoSpaceDN w:val="0"/>
                    <w:snapToGrid w:val="0"/>
                    <w:jc w:val="center"/>
                    <w:rPr>
                      <w:color w:val="auto"/>
                      <w14:ligatures w14:val="standardContextual"/>
                    </w:rPr>
                  </w:pPr>
                  <w:r>
                    <w:rPr>
                      <w:color w:val="auto"/>
                      <w14:ligatures w14:val="standardContextual"/>
                    </w:rPr>
                    <w:t>固态</w:t>
                  </w:r>
                </w:p>
              </w:tc>
              <w:tc>
                <w:tcPr>
                  <w:tcW w:w="797" w:type="dxa"/>
                  <w:vAlign w:val="center"/>
                </w:tcPr>
                <w:p w14:paraId="061ABC6F">
                  <w:pPr>
                    <w:widowControl w:val="0"/>
                    <w:overflowPunct w:val="0"/>
                    <w:autoSpaceDE w:val="0"/>
                    <w:autoSpaceDN w:val="0"/>
                    <w:snapToGrid w:val="0"/>
                    <w:jc w:val="center"/>
                    <w:rPr>
                      <w:color w:val="auto"/>
                      <w14:ligatures w14:val="standardContextual"/>
                    </w:rPr>
                  </w:pPr>
                  <w:r>
                    <w:rPr>
                      <w:rFonts w:hint="eastAsia"/>
                      <w:color w:val="auto"/>
                      <w14:ligatures w14:val="standardContextual"/>
                    </w:rPr>
                    <w:t>0.5</w:t>
                  </w:r>
                </w:p>
              </w:tc>
              <w:tc>
                <w:tcPr>
                  <w:tcW w:w="797" w:type="dxa"/>
                  <w:vAlign w:val="center"/>
                </w:tcPr>
                <w:p w14:paraId="50CB74BD">
                  <w:pPr>
                    <w:widowControl w:val="0"/>
                    <w:overflowPunct w:val="0"/>
                    <w:autoSpaceDE w:val="0"/>
                    <w:autoSpaceDN w:val="0"/>
                    <w:snapToGrid w:val="0"/>
                    <w:jc w:val="center"/>
                    <w:rPr>
                      <w:color w:val="auto"/>
                      <w14:ligatures w14:val="standardContextual"/>
                    </w:rPr>
                  </w:pPr>
                  <w:r>
                    <w:rPr>
                      <w:rFonts w:hint="eastAsia"/>
                      <w:color w:val="auto"/>
                      <w14:ligatures w14:val="standardContextual"/>
                    </w:rPr>
                    <w:t>0.5</w:t>
                  </w:r>
                </w:p>
              </w:tc>
              <w:tc>
                <w:tcPr>
                  <w:tcW w:w="1086" w:type="dxa"/>
                  <w:vMerge w:val="restart"/>
                  <w:vAlign w:val="center"/>
                </w:tcPr>
                <w:p w14:paraId="45751661">
                  <w:pPr>
                    <w:widowControl w:val="0"/>
                    <w:overflowPunct w:val="0"/>
                    <w:autoSpaceDE w:val="0"/>
                    <w:autoSpaceDN w:val="0"/>
                    <w:snapToGrid w:val="0"/>
                    <w:jc w:val="center"/>
                    <w:rPr>
                      <w:color w:val="auto"/>
                      <w14:ligatures w14:val="standardContextual"/>
                    </w:rPr>
                  </w:pPr>
                  <w:bookmarkStart w:id="244" w:name="OLE_LINK288"/>
                  <w:r>
                    <w:rPr>
                      <w:rFonts w:hint="eastAsia"/>
                      <w:color w:val="auto"/>
                      <w14:ligatures w14:val="standardContextual"/>
                    </w:rPr>
                    <w:t>收集后外售给物资单位综合利用</w:t>
                  </w:r>
                  <w:bookmarkEnd w:id="244"/>
                </w:p>
              </w:tc>
            </w:tr>
            <w:tr w14:paraId="6A0117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257" w:type="dxa"/>
                  <w:vAlign w:val="center"/>
                </w:tcPr>
                <w:p w14:paraId="35C99282">
                  <w:pPr>
                    <w:widowControl w:val="0"/>
                    <w:overflowPunct w:val="0"/>
                    <w:autoSpaceDE w:val="0"/>
                    <w:autoSpaceDN w:val="0"/>
                    <w:snapToGrid w:val="0"/>
                    <w:jc w:val="center"/>
                    <w:rPr>
                      <w:color w:val="auto"/>
                      <w14:ligatures w14:val="standardContextual"/>
                    </w:rPr>
                  </w:pPr>
                  <w:r>
                    <w:rPr>
                      <w:rFonts w:hint="eastAsia"/>
                      <w:color w:val="auto"/>
                      <w14:ligatures w14:val="standardContextual"/>
                    </w:rPr>
                    <w:t>S4废布袋</w:t>
                  </w:r>
                </w:p>
              </w:tc>
              <w:tc>
                <w:tcPr>
                  <w:tcW w:w="971" w:type="dxa"/>
                  <w:vMerge w:val="continue"/>
                  <w:vAlign w:val="center"/>
                </w:tcPr>
                <w:p w14:paraId="11064811">
                  <w:pPr>
                    <w:widowControl w:val="0"/>
                    <w:overflowPunct w:val="0"/>
                    <w:autoSpaceDE w:val="0"/>
                    <w:autoSpaceDN w:val="0"/>
                    <w:snapToGrid w:val="0"/>
                    <w:jc w:val="center"/>
                    <w:rPr>
                      <w:color w:val="auto"/>
                      <w14:ligatures w14:val="standardContextual"/>
                    </w:rPr>
                  </w:pPr>
                </w:p>
              </w:tc>
              <w:tc>
                <w:tcPr>
                  <w:tcW w:w="2137" w:type="dxa"/>
                  <w:vAlign w:val="center"/>
                </w:tcPr>
                <w:p w14:paraId="3907688D">
                  <w:pPr>
                    <w:widowControl w:val="0"/>
                    <w:overflowPunct w:val="0"/>
                    <w:autoSpaceDE w:val="0"/>
                    <w:autoSpaceDN w:val="0"/>
                    <w:snapToGrid w:val="0"/>
                    <w:jc w:val="center"/>
                    <w:rPr>
                      <w:color w:val="auto"/>
                      <w14:ligatures w14:val="standardContextual"/>
                    </w:rPr>
                  </w:pPr>
                  <w:r>
                    <w:rPr>
                      <w:color w:val="auto"/>
                      <w14:ligatures w14:val="standardContextual"/>
                    </w:rPr>
                    <w:t>900-009-S59</w:t>
                  </w:r>
                </w:p>
              </w:tc>
              <w:tc>
                <w:tcPr>
                  <w:tcW w:w="898" w:type="dxa"/>
                  <w:vAlign w:val="center"/>
                </w:tcPr>
                <w:p w14:paraId="6C42C1C9">
                  <w:pPr>
                    <w:widowControl w:val="0"/>
                    <w:overflowPunct w:val="0"/>
                    <w:autoSpaceDE w:val="0"/>
                    <w:autoSpaceDN w:val="0"/>
                    <w:snapToGrid w:val="0"/>
                    <w:jc w:val="center"/>
                    <w:rPr>
                      <w:color w:val="auto"/>
                      <w14:ligatures w14:val="standardContextual"/>
                    </w:rPr>
                  </w:pPr>
                  <w:r>
                    <w:rPr>
                      <w:color w:val="auto"/>
                      <w14:ligatures w14:val="standardContextual"/>
                    </w:rPr>
                    <w:t>固态</w:t>
                  </w:r>
                </w:p>
              </w:tc>
              <w:tc>
                <w:tcPr>
                  <w:tcW w:w="797" w:type="dxa"/>
                  <w:vAlign w:val="center"/>
                </w:tcPr>
                <w:p w14:paraId="05C41D37">
                  <w:pPr>
                    <w:widowControl w:val="0"/>
                    <w:overflowPunct w:val="0"/>
                    <w:autoSpaceDE w:val="0"/>
                    <w:autoSpaceDN w:val="0"/>
                    <w:snapToGrid w:val="0"/>
                    <w:jc w:val="center"/>
                    <w:rPr>
                      <w:color w:val="auto"/>
                      <w14:ligatures w14:val="standardContextual"/>
                    </w:rPr>
                  </w:pPr>
                  <w:bookmarkStart w:id="245" w:name="OLE_LINK269"/>
                  <w:r>
                    <w:rPr>
                      <w:rFonts w:hint="eastAsia"/>
                      <w:color w:val="auto"/>
                      <w14:ligatures w14:val="standardContextual"/>
                    </w:rPr>
                    <w:t>0.1</w:t>
                  </w:r>
                  <w:bookmarkEnd w:id="245"/>
                </w:p>
              </w:tc>
              <w:tc>
                <w:tcPr>
                  <w:tcW w:w="797" w:type="dxa"/>
                  <w:vAlign w:val="center"/>
                </w:tcPr>
                <w:p w14:paraId="581130AF">
                  <w:pPr>
                    <w:widowControl w:val="0"/>
                    <w:overflowPunct w:val="0"/>
                    <w:autoSpaceDE w:val="0"/>
                    <w:autoSpaceDN w:val="0"/>
                    <w:snapToGrid w:val="0"/>
                    <w:jc w:val="center"/>
                    <w:rPr>
                      <w:color w:val="auto"/>
                      <w14:ligatures w14:val="standardContextual"/>
                    </w:rPr>
                  </w:pPr>
                  <w:r>
                    <w:rPr>
                      <w:rFonts w:hint="eastAsia"/>
                      <w:color w:val="auto"/>
                      <w14:ligatures w14:val="standardContextual"/>
                    </w:rPr>
                    <w:t>0.1</w:t>
                  </w:r>
                </w:p>
              </w:tc>
              <w:tc>
                <w:tcPr>
                  <w:tcW w:w="1086" w:type="dxa"/>
                  <w:vMerge w:val="continue"/>
                  <w:vAlign w:val="center"/>
                </w:tcPr>
                <w:p w14:paraId="26857C5F">
                  <w:pPr>
                    <w:widowControl w:val="0"/>
                    <w:overflowPunct w:val="0"/>
                    <w:autoSpaceDE w:val="0"/>
                    <w:autoSpaceDN w:val="0"/>
                    <w:snapToGrid w:val="0"/>
                    <w:jc w:val="center"/>
                    <w:rPr>
                      <w:color w:val="auto"/>
                      <w14:ligatures w14:val="standardContextual"/>
                    </w:rPr>
                  </w:pPr>
                </w:p>
              </w:tc>
            </w:tr>
            <w:tr w14:paraId="1A302F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257" w:type="dxa"/>
                  <w:vAlign w:val="center"/>
                </w:tcPr>
                <w:p w14:paraId="4ECA60B6">
                  <w:pPr>
                    <w:widowControl w:val="0"/>
                    <w:overflowPunct w:val="0"/>
                    <w:autoSpaceDE w:val="0"/>
                    <w:autoSpaceDN w:val="0"/>
                    <w:snapToGrid w:val="0"/>
                    <w:jc w:val="center"/>
                    <w:rPr>
                      <w:color w:val="auto"/>
                      <w14:ligatures w14:val="standardContextual"/>
                    </w:rPr>
                  </w:pPr>
                  <w:bookmarkStart w:id="246" w:name="OLE_LINK57"/>
                  <w:r>
                    <w:rPr>
                      <w:rFonts w:hint="eastAsia"/>
                      <w:color w:val="auto"/>
                      <w14:ligatures w14:val="standardContextual"/>
                    </w:rPr>
                    <w:t>S5废润滑油及废油桶</w:t>
                  </w:r>
                  <w:bookmarkEnd w:id="246"/>
                </w:p>
              </w:tc>
              <w:tc>
                <w:tcPr>
                  <w:tcW w:w="971" w:type="dxa"/>
                  <w:vAlign w:val="center"/>
                </w:tcPr>
                <w:p w14:paraId="44ED0BF2">
                  <w:pPr>
                    <w:widowControl w:val="0"/>
                    <w:overflowPunct w:val="0"/>
                    <w:autoSpaceDE w:val="0"/>
                    <w:autoSpaceDN w:val="0"/>
                    <w:snapToGrid w:val="0"/>
                    <w:jc w:val="center"/>
                    <w:rPr>
                      <w:color w:val="auto"/>
                      <w14:ligatures w14:val="standardContextual"/>
                    </w:rPr>
                  </w:pPr>
                  <w:r>
                    <w:rPr>
                      <w:rFonts w:hint="eastAsia"/>
                      <w:color w:val="auto"/>
                      <w14:ligatures w14:val="standardContextual"/>
                    </w:rPr>
                    <w:t>危险废物</w:t>
                  </w:r>
                </w:p>
              </w:tc>
              <w:tc>
                <w:tcPr>
                  <w:tcW w:w="2137" w:type="dxa"/>
                  <w:vAlign w:val="center"/>
                </w:tcPr>
                <w:p w14:paraId="54F016FC">
                  <w:pPr>
                    <w:widowControl w:val="0"/>
                    <w:overflowPunct w:val="0"/>
                    <w:autoSpaceDE w:val="0"/>
                    <w:autoSpaceDN w:val="0"/>
                    <w:snapToGrid w:val="0"/>
                    <w:jc w:val="center"/>
                    <w:rPr>
                      <w:color w:val="auto"/>
                      <w14:ligatures w14:val="standardContextual"/>
                    </w:rPr>
                  </w:pPr>
                  <w:r>
                    <w:rPr>
                      <w:color w:val="auto"/>
                      <w14:ligatures w14:val="standardContextual"/>
                    </w:rPr>
                    <w:t>HW08</w:t>
                  </w:r>
                  <w:r>
                    <w:rPr>
                      <w:rFonts w:hint="eastAsia"/>
                      <w:color w:val="auto"/>
                      <w14:ligatures w14:val="standardContextual"/>
                    </w:rPr>
                    <w:t>（</w:t>
                  </w:r>
                  <w:r>
                    <w:rPr>
                      <w:color w:val="auto"/>
                      <w14:ligatures w14:val="standardContextual"/>
                    </w:rPr>
                    <w:t>900-249-08</w:t>
                  </w:r>
                  <w:r>
                    <w:rPr>
                      <w:rFonts w:hint="eastAsia"/>
                      <w:color w:val="auto"/>
                      <w14:ligatures w14:val="standardContextual"/>
                    </w:rPr>
                    <w:t>）</w:t>
                  </w:r>
                </w:p>
              </w:tc>
              <w:tc>
                <w:tcPr>
                  <w:tcW w:w="898" w:type="dxa"/>
                  <w:vAlign w:val="center"/>
                </w:tcPr>
                <w:p w14:paraId="19AE93BF">
                  <w:pPr>
                    <w:widowControl w:val="0"/>
                    <w:overflowPunct w:val="0"/>
                    <w:autoSpaceDE w:val="0"/>
                    <w:autoSpaceDN w:val="0"/>
                    <w:snapToGrid w:val="0"/>
                    <w:jc w:val="center"/>
                    <w:rPr>
                      <w:color w:val="auto"/>
                      <w14:ligatures w14:val="standardContextual"/>
                    </w:rPr>
                  </w:pPr>
                  <w:r>
                    <w:rPr>
                      <w:rFonts w:hint="eastAsia"/>
                      <w:color w:val="auto"/>
                      <w14:ligatures w14:val="standardContextual"/>
                    </w:rPr>
                    <w:t>固态/液态</w:t>
                  </w:r>
                </w:p>
              </w:tc>
              <w:tc>
                <w:tcPr>
                  <w:tcW w:w="797" w:type="dxa"/>
                  <w:vAlign w:val="center"/>
                </w:tcPr>
                <w:p w14:paraId="5966C3D4">
                  <w:pPr>
                    <w:widowControl w:val="0"/>
                    <w:overflowPunct w:val="0"/>
                    <w:autoSpaceDE w:val="0"/>
                    <w:autoSpaceDN w:val="0"/>
                    <w:snapToGrid w:val="0"/>
                    <w:jc w:val="center"/>
                    <w:rPr>
                      <w:color w:val="auto"/>
                      <w14:ligatures w14:val="standardContextual"/>
                    </w:rPr>
                  </w:pPr>
                  <w:r>
                    <w:rPr>
                      <w:rFonts w:hint="eastAsia"/>
                      <w:color w:val="auto"/>
                      <w14:ligatures w14:val="standardContextual"/>
                    </w:rPr>
                    <w:t>0.05t/a</w:t>
                  </w:r>
                </w:p>
              </w:tc>
              <w:tc>
                <w:tcPr>
                  <w:tcW w:w="797" w:type="dxa"/>
                  <w:vAlign w:val="center"/>
                </w:tcPr>
                <w:p w14:paraId="567373C1">
                  <w:pPr>
                    <w:widowControl w:val="0"/>
                    <w:overflowPunct w:val="0"/>
                    <w:autoSpaceDE w:val="0"/>
                    <w:autoSpaceDN w:val="0"/>
                    <w:snapToGrid w:val="0"/>
                    <w:jc w:val="center"/>
                    <w:rPr>
                      <w:color w:val="auto"/>
                      <w14:ligatures w14:val="standardContextual"/>
                    </w:rPr>
                  </w:pPr>
                  <w:r>
                    <w:rPr>
                      <w:rFonts w:hint="eastAsia"/>
                      <w:color w:val="auto"/>
                      <w14:ligatures w14:val="standardContextual"/>
                    </w:rPr>
                    <w:t>0.05t/a</w:t>
                  </w:r>
                </w:p>
              </w:tc>
              <w:tc>
                <w:tcPr>
                  <w:tcW w:w="1086" w:type="dxa"/>
                  <w:vMerge w:val="restart"/>
                  <w:vAlign w:val="center"/>
                </w:tcPr>
                <w:p w14:paraId="262CA7DA">
                  <w:pPr>
                    <w:widowControl w:val="0"/>
                    <w:overflowPunct w:val="0"/>
                    <w:autoSpaceDE w:val="0"/>
                    <w:autoSpaceDN w:val="0"/>
                    <w:snapToGrid w:val="0"/>
                    <w:jc w:val="center"/>
                    <w:rPr>
                      <w:color w:val="auto"/>
                      <w14:ligatures w14:val="standardContextual"/>
                    </w:rPr>
                  </w:pPr>
                  <w:bookmarkStart w:id="247" w:name="OLE_LINK137"/>
                  <w:r>
                    <w:rPr>
                      <w:rFonts w:hint="eastAsia"/>
                      <w:color w:val="auto"/>
                      <w14:ligatures w14:val="standardContextual"/>
                    </w:rPr>
                    <w:t>委托有资质单位处置</w:t>
                  </w:r>
                  <w:bookmarkEnd w:id="247"/>
                </w:p>
              </w:tc>
            </w:tr>
            <w:tr w14:paraId="57C4E1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257" w:type="dxa"/>
                  <w:vAlign w:val="center"/>
                </w:tcPr>
                <w:p w14:paraId="4FC4C858">
                  <w:pPr>
                    <w:widowControl w:val="0"/>
                    <w:overflowPunct w:val="0"/>
                    <w:autoSpaceDE w:val="0"/>
                    <w:autoSpaceDN w:val="0"/>
                    <w:snapToGrid w:val="0"/>
                    <w:jc w:val="center"/>
                    <w:rPr>
                      <w:color w:val="auto"/>
                      <w14:ligatures w14:val="standardContextual"/>
                    </w:rPr>
                  </w:pPr>
                  <w:bookmarkStart w:id="248" w:name="OLE_LINK95"/>
                  <w:r>
                    <w:rPr>
                      <w:rFonts w:hint="eastAsia"/>
                      <w:color w:val="auto"/>
                      <w14:ligatures w14:val="standardContextual"/>
                    </w:rPr>
                    <w:t>S6</w:t>
                  </w:r>
                  <w:r>
                    <w:rPr>
                      <w:rFonts w:hint="eastAsia" w:ascii="宋体" w:hAnsi="宋体" w:cs="宋体"/>
                      <w:color w:val="auto"/>
                      <w14:ligatures w14:val="standardContextual"/>
                    </w:rPr>
                    <w:t>废含油抹布</w:t>
                  </w:r>
                  <w:bookmarkEnd w:id="248"/>
                </w:p>
              </w:tc>
              <w:tc>
                <w:tcPr>
                  <w:tcW w:w="971" w:type="dxa"/>
                  <w:vAlign w:val="center"/>
                </w:tcPr>
                <w:p w14:paraId="4B46AFB6">
                  <w:pPr>
                    <w:widowControl w:val="0"/>
                    <w:overflowPunct w:val="0"/>
                    <w:autoSpaceDE w:val="0"/>
                    <w:autoSpaceDN w:val="0"/>
                    <w:snapToGrid w:val="0"/>
                    <w:jc w:val="center"/>
                    <w:rPr>
                      <w:color w:val="auto"/>
                      <w14:ligatures w14:val="standardContextual"/>
                    </w:rPr>
                  </w:pPr>
                  <w:r>
                    <w:rPr>
                      <w:rFonts w:hint="eastAsia"/>
                      <w:color w:val="auto"/>
                      <w14:ligatures w14:val="standardContextual"/>
                    </w:rPr>
                    <w:t>危险废物</w:t>
                  </w:r>
                </w:p>
              </w:tc>
              <w:tc>
                <w:tcPr>
                  <w:tcW w:w="2137" w:type="dxa"/>
                  <w:vAlign w:val="center"/>
                </w:tcPr>
                <w:p w14:paraId="71CFA77D">
                  <w:pPr>
                    <w:widowControl w:val="0"/>
                    <w:overflowPunct w:val="0"/>
                    <w:autoSpaceDE w:val="0"/>
                    <w:autoSpaceDN w:val="0"/>
                    <w:snapToGrid w:val="0"/>
                    <w:jc w:val="center"/>
                    <w:rPr>
                      <w:color w:val="auto"/>
                      <w14:ligatures w14:val="standardContextual"/>
                    </w:rPr>
                  </w:pPr>
                  <w:r>
                    <w:rPr>
                      <w:color w:val="auto"/>
                      <w14:ligatures w14:val="standardContextual"/>
                    </w:rPr>
                    <w:t>HW0</w:t>
                  </w:r>
                  <w:r>
                    <w:rPr>
                      <w:rFonts w:hint="eastAsia"/>
                      <w:color w:val="auto"/>
                      <w14:ligatures w14:val="standardContextual"/>
                    </w:rPr>
                    <w:t>9（</w:t>
                  </w:r>
                  <w:r>
                    <w:rPr>
                      <w:color w:val="auto"/>
                      <w14:ligatures w14:val="standardContextual"/>
                    </w:rPr>
                    <w:t>900-041-49</w:t>
                  </w:r>
                  <w:r>
                    <w:rPr>
                      <w:rFonts w:hint="eastAsia"/>
                      <w:color w:val="auto"/>
                      <w14:ligatures w14:val="standardContextual"/>
                    </w:rPr>
                    <w:t>）</w:t>
                  </w:r>
                </w:p>
              </w:tc>
              <w:tc>
                <w:tcPr>
                  <w:tcW w:w="898" w:type="dxa"/>
                  <w:vAlign w:val="center"/>
                </w:tcPr>
                <w:p w14:paraId="46596676">
                  <w:pPr>
                    <w:widowControl w:val="0"/>
                    <w:overflowPunct w:val="0"/>
                    <w:autoSpaceDE w:val="0"/>
                    <w:autoSpaceDN w:val="0"/>
                    <w:snapToGrid w:val="0"/>
                    <w:jc w:val="center"/>
                    <w:rPr>
                      <w:color w:val="auto"/>
                      <w14:ligatures w14:val="standardContextual"/>
                    </w:rPr>
                  </w:pPr>
                  <w:r>
                    <w:rPr>
                      <w:rFonts w:hint="eastAsia"/>
                      <w:color w:val="auto"/>
                      <w14:ligatures w14:val="standardContextual"/>
                    </w:rPr>
                    <w:t>固态</w:t>
                  </w:r>
                </w:p>
              </w:tc>
              <w:tc>
                <w:tcPr>
                  <w:tcW w:w="797" w:type="dxa"/>
                  <w:vAlign w:val="center"/>
                </w:tcPr>
                <w:p w14:paraId="6EBCA70A">
                  <w:pPr>
                    <w:widowControl w:val="0"/>
                    <w:overflowPunct w:val="0"/>
                    <w:autoSpaceDE w:val="0"/>
                    <w:autoSpaceDN w:val="0"/>
                    <w:snapToGrid w:val="0"/>
                    <w:jc w:val="center"/>
                    <w:rPr>
                      <w:color w:val="auto"/>
                      <w14:ligatures w14:val="standardContextual"/>
                    </w:rPr>
                  </w:pPr>
                  <w:r>
                    <w:rPr>
                      <w:rFonts w:hint="eastAsia"/>
                      <w:color w:val="auto"/>
                      <w14:ligatures w14:val="standardContextual"/>
                    </w:rPr>
                    <w:t>0.01t/a</w:t>
                  </w:r>
                </w:p>
              </w:tc>
              <w:tc>
                <w:tcPr>
                  <w:tcW w:w="797" w:type="dxa"/>
                  <w:vAlign w:val="center"/>
                </w:tcPr>
                <w:p w14:paraId="5661133B">
                  <w:pPr>
                    <w:widowControl w:val="0"/>
                    <w:overflowPunct w:val="0"/>
                    <w:autoSpaceDE w:val="0"/>
                    <w:autoSpaceDN w:val="0"/>
                    <w:snapToGrid w:val="0"/>
                    <w:jc w:val="center"/>
                    <w:rPr>
                      <w:color w:val="auto"/>
                      <w14:ligatures w14:val="standardContextual"/>
                    </w:rPr>
                  </w:pPr>
                  <w:r>
                    <w:rPr>
                      <w:rFonts w:hint="eastAsia"/>
                      <w:color w:val="auto"/>
                      <w14:ligatures w14:val="standardContextual"/>
                    </w:rPr>
                    <w:t>0.01t/a</w:t>
                  </w:r>
                </w:p>
              </w:tc>
              <w:tc>
                <w:tcPr>
                  <w:tcW w:w="1086" w:type="dxa"/>
                  <w:vMerge w:val="continue"/>
                  <w:vAlign w:val="center"/>
                </w:tcPr>
                <w:p w14:paraId="652BAE26">
                  <w:pPr>
                    <w:widowControl w:val="0"/>
                    <w:overflowPunct w:val="0"/>
                    <w:autoSpaceDE w:val="0"/>
                    <w:autoSpaceDN w:val="0"/>
                    <w:snapToGrid w:val="0"/>
                    <w:jc w:val="center"/>
                    <w:rPr>
                      <w:color w:val="auto"/>
                      <w14:ligatures w14:val="standardContextual"/>
                    </w:rPr>
                  </w:pPr>
                </w:p>
              </w:tc>
            </w:tr>
            <w:tr w14:paraId="24B16F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257" w:type="dxa"/>
                  <w:vAlign w:val="center"/>
                </w:tcPr>
                <w:p w14:paraId="66C5290C">
                  <w:pPr>
                    <w:widowControl w:val="0"/>
                    <w:overflowPunct w:val="0"/>
                    <w:autoSpaceDE w:val="0"/>
                    <w:autoSpaceDN w:val="0"/>
                    <w:snapToGrid w:val="0"/>
                    <w:jc w:val="center"/>
                    <w:rPr>
                      <w:color w:val="auto"/>
                      <w14:ligatures w14:val="standardContextual"/>
                    </w:rPr>
                  </w:pPr>
                  <w:r>
                    <w:rPr>
                      <w:rFonts w:hint="eastAsia"/>
                      <w:color w:val="auto"/>
                      <w14:ligatures w14:val="standardContextual"/>
                    </w:rPr>
                    <w:t>S7生活垃圾</w:t>
                  </w:r>
                </w:p>
              </w:tc>
              <w:tc>
                <w:tcPr>
                  <w:tcW w:w="971" w:type="dxa"/>
                  <w:vAlign w:val="center"/>
                </w:tcPr>
                <w:p w14:paraId="34C49264">
                  <w:pPr>
                    <w:widowControl w:val="0"/>
                    <w:overflowPunct w:val="0"/>
                    <w:autoSpaceDE w:val="0"/>
                    <w:autoSpaceDN w:val="0"/>
                    <w:snapToGrid w:val="0"/>
                    <w:jc w:val="center"/>
                    <w:rPr>
                      <w:color w:val="auto"/>
                      <w14:ligatures w14:val="standardContextual"/>
                    </w:rPr>
                  </w:pPr>
                  <w:r>
                    <w:rPr>
                      <w:rFonts w:hint="eastAsia"/>
                      <w:color w:val="auto"/>
                      <w14:ligatures w14:val="standardContextual"/>
                    </w:rPr>
                    <w:t>/</w:t>
                  </w:r>
                </w:p>
              </w:tc>
              <w:tc>
                <w:tcPr>
                  <w:tcW w:w="2137" w:type="dxa"/>
                  <w:vAlign w:val="center"/>
                </w:tcPr>
                <w:p w14:paraId="7430E8C8">
                  <w:pPr>
                    <w:widowControl w:val="0"/>
                    <w:overflowPunct w:val="0"/>
                    <w:autoSpaceDE w:val="0"/>
                    <w:autoSpaceDN w:val="0"/>
                    <w:snapToGrid w:val="0"/>
                    <w:jc w:val="center"/>
                    <w:rPr>
                      <w:color w:val="auto"/>
                      <w14:ligatures w14:val="standardContextual"/>
                    </w:rPr>
                  </w:pPr>
                  <w:r>
                    <w:rPr>
                      <w:rFonts w:hint="eastAsia"/>
                      <w:color w:val="auto"/>
                      <w14:ligatures w14:val="standardContextual"/>
                    </w:rPr>
                    <w:t>/</w:t>
                  </w:r>
                </w:p>
              </w:tc>
              <w:tc>
                <w:tcPr>
                  <w:tcW w:w="898" w:type="dxa"/>
                  <w:vAlign w:val="center"/>
                </w:tcPr>
                <w:p w14:paraId="135F346C">
                  <w:pPr>
                    <w:widowControl w:val="0"/>
                    <w:overflowPunct w:val="0"/>
                    <w:autoSpaceDE w:val="0"/>
                    <w:autoSpaceDN w:val="0"/>
                    <w:snapToGrid w:val="0"/>
                    <w:jc w:val="center"/>
                    <w:rPr>
                      <w:color w:val="auto"/>
                      <w14:ligatures w14:val="standardContextual"/>
                    </w:rPr>
                  </w:pPr>
                  <w:r>
                    <w:rPr>
                      <w:color w:val="auto"/>
                      <w14:ligatures w14:val="standardContextual"/>
                    </w:rPr>
                    <w:t>固态</w:t>
                  </w:r>
                </w:p>
              </w:tc>
              <w:tc>
                <w:tcPr>
                  <w:tcW w:w="797" w:type="dxa"/>
                  <w:vAlign w:val="center"/>
                </w:tcPr>
                <w:p w14:paraId="466ADF23">
                  <w:pPr>
                    <w:widowControl w:val="0"/>
                    <w:overflowPunct w:val="0"/>
                    <w:autoSpaceDE w:val="0"/>
                    <w:autoSpaceDN w:val="0"/>
                    <w:snapToGrid w:val="0"/>
                    <w:jc w:val="center"/>
                    <w:rPr>
                      <w:color w:val="auto"/>
                      <w14:ligatures w14:val="standardContextual"/>
                    </w:rPr>
                  </w:pPr>
                  <w:r>
                    <w:rPr>
                      <w:rFonts w:hint="eastAsia"/>
                      <w:color w:val="auto"/>
                      <w14:ligatures w14:val="standardContextual"/>
                    </w:rPr>
                    <w:t>3.3t/a</w:t>
                  </w:r>
                </w:p>
              </w:tc>
              <w:tc>
                <w:tcPr>
                  <w:tcW w:w="797" w:type="dxa"/>
                  <w:vAlign w:val="center"/>
                </w:tcPr>
                <w:p w14:paraId="0CFF1BA2">
                  <w:pPr>
                    <w:widowControl w:val="0"/>
                    <w:overflowPunct w:val="0"/>
                    <w:autoSpaceDE w:val="0"/>
                    <w:autoSpaceDN w:val="0"/>
                    <w:snapToGrid w:val="0"/>
                    <w:jc w:val="center"/>
                    <w:rPr>
                      <w:color w:val="auto"/>
                      <w14:ligatures w14:val="standardContextual"/>
                    </w:rPr>
                  </w:pPr>
                  <w:r>
                    <w:rPr>
                      <w:rFonts w:hint="eastAsia"/>
                      <w:color w:val="auto"/>
                      <w14:ligatures w14:val="standardContextual"/>
                    </w:rPr>
                    <w:t>3.3t/a</w:t>
                  </w:r>
                </w:p>
              </w:tc>
              <w:tc>
                <w:tcPr>
                  <w:tcW w:w="1086" w:type="dxa"/>
                  <w:vAlign w:val="center"/>
                </w:tcPr>
                <w:p w14:paraId="31D3C821">
                  <w:pPr>
                    <w:widowControl w:val="0"/>
                    <w:overflowPunct w:val="0"/>
                    <w:autoSpaceDE w:val="0"/>
                    <w:autoSpaceDN w:val="0"/>
                    <w:snapToGrid w:val="0"/>
                    <w:jc w:val="center"/>
                    <w:rPr>
                      <w:color w:val="auto"/>
                      <w14:ligatures w14:val="standardContextual"/>
                    </w:rPr>
                  </w:pPr>
                  <w:r>
                    <w:rPr>
                      <w:rFonts w:hint="eastAsia"/>
                      <w:color w:val="auto"/>
                      <w14:ligatures w14:val="standardContextual"/>
                    </w:rPr>
                    <w:t>交由环卫部门处置</w:t>
                  </w:r>
                </w:p>
              </w:tc>
            </w:tr>
            <w:bookmarkEnd w:id="242"/>
          </w:tbl>
          <w:p w14:paraId="2CB739D7">
            <w:pPr>
              <w:pStyle w:val="3"/>
              <w:ind w:firstLine="482"/>
              <w:rPr>
                <w:b/>
                <w:bCs/>
                <w:color w:val="auto"/>
              </w:rPr>
            </w:pPr>
            <w:bookmarkStart w:id="249" w:name="_Ref175583056"/>
            <w:r>
              <w:rPr>
                <w:rFonts w:hint="eastAsia"/>
                <w:b/>
                <w:bCs/>
                <w:color w:val="auto"/>
              </w:rPr>
              <w:t>2、固废处置、暂存影响分析</w:t>
            </w:r>
          </w:p>
          <w:p w14:paraId="6759888D">
            <w:pPr>
              <w:pStyle w:val="3"/>
              <w:ind w:firstLine="480"/>
              <w:rPr>
                <w:color w:val="auto"/>
              </w:rPr>
            </w:pPr>
            <w:r>
              <w:rPr>
                <w:rFonts w:hint="eastAsia"/>
                <w:color w:val="auto"/>
              </w:rPr>
              <w:t>1）一般固废</w:t>
            </w:r>
          </w:p>
          <w:p w14:paraId="26C57020">
            <w:pPr>
              <w:pStyle w:val="49"/>
              <w:rPr>
                <w:color w:val="auto"/>
              </w:rPr>
            </w:pPr>
            <w:bookmarkStart w:id="250" w:name="OLE_LINK55"/>
            <w:r>
              <w:rPr>
                <w:rFonts w:hint="eastAsia"/>
                <w:color w:val="auto"/>
              </w:rPr>
              <w:t xml:space="preserve">表4- </w:t>
            </w:r>
            <w:r>
              <w:rPr>
                <w:color w:val="auto"/>
              </w:rPr>
              <w:t>14</w:t>
            </w:r>
            <w:bookmarkEnd w:id="249"/>
            <w:r>
              <w:rPr>
                <w:rFonts w:hint="eastAsia"/>
                <w:color w:val="auto"/>
              </w:rPr>
              <w:t>：</w:t>
            </w:r>
            <w:bookmarkEnd w:id="250"/>
            <w:r>
              <w:rPr>
                <w:rFonts w:hint="eastAsia"/>
                <w:color w:val="auto"/>
              </w:rPr>
              <w:t>项目一般固废贮存场所（设施）基本情况一览表</w:t>
            </w:r>
          </w:p>
          <w:tbl>
            <w:tblPr>
              <w:tblStyle w:val="50"/>
              <w:tblW w:w="793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623"/>
              <w:gridCol w:w="1677"/>
              <w:gridCol w:w="1694"/>
              <w:gridCol w:w="1122"/>
              <w:gridCol w:w="1124"/>
              <w:gridCol w:w="718"/>
              <w:gridCol w:w="980"/>
            </w:tblGrid>
            <w:tr w14:paraId="309363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3" w:type="pct"/>
                  <w:tcBorders>
                    <w:top w:val="single" w:color="auto" w:sz="12" w:space="0"/>
                    <w:left w:val="nil"/>
                    <w:bottom w:val="single" w:color="auto" w:sz="12" w:space="0"/>
                    <w:right w:val="single" w:color="auto" w:sz="4" w:space="0"/>
                    <w:insideH w:val="single" w:sz="12" w:space="0"/>
                    <w:insideV w:val="single" w:sz="4" w:space="0"/>
                    <w:tl2br w:val="nil"/>
                    <w:tr2bl w:val="nil"/>
                  </w:tcBorders>
                  <w:vAlign w:val="center"/>
                </w:tcPr>
                <w:p w14:paraId="714C3781">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sz w:val="21"/>
                      <w:szCs w:val="21"/>
                      <w14:ligatures w14:val="standardContextual"/>
                    </w:rPr>
                  </w:pPr>
                  <w:r>
                    <w:rPr>
                      <w:rFonts w:hint="default" w:ascii="Times New Roman" w:hAnsi="Times New Roman" w:eastAsia="宋体" w:cs="Times New Roman"/>
                      <w:b/>
                      <w:i w:val="0"/>
                      <w:color w:val="auto"/>
                      <w:sz w:val="21"/>
                      <w:szCs w:val="21"/>
                      <w14:ligatures w14:val="standardContextual"/>
                    </w:rPr>
                    <w:t>序号</w:t>
                  </w:r>
                </w:p>
              </w:tc>
              <w:tc>
                <w:tcPr>
                  <w:tcW w:w="1056"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13FA31B9">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sz w:val="21"/>
                      <w:szCs w:val="21"/>
                      <w14:ligatures w14:val="standardContextual"/>
                    </w:rPr>
                  </w:pPr>
                  <w:r>
                    <w:rPr>
                      <w:rFonts w:hint="eastAsia" w:ascii="Times New Roman" w:hAnsi="Times New Roman" w:eastAsia="宋体" w:cs="Times New Roman"/>
                      <w:b/>
                      <w:i w:val="0"/>
                      <w:color w:val="auto"/>
                      <w:sz w:val="21"/>
                      <w:szCs w:val="21"/>
                      <w14:ligatures w14:val="standardContextual"/>
                    </w:rPr>
                    <w:t>一般贮存场所（设施）名称</w:t>
                  </w:r>
                </w:p>
              </w:tc>
              <w:tc>
                <w:tcPr>
                  <w:tcW w:w="1067"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00524261">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sz w:val="21"/>
                      <w:szCs w:val="21"/>
                      <w14:ligatures w14:val="standardContextual"/>
                    </w:rPr>
                  </w:pPr>
                  <w:r>
                    <w:rPr>
                      <w:rFonts w:hint="eastAsia" w:ascii="Times New Roman" w:hAnsi="Times New Roman" w:eastAsia="宋体" w:cs="Times New Roman"/>
                      <w:b/>
                      <w:i w:val="0"/>
                      <w:color w:val="auto"/>
                      <w:sz w:val="21"/>
                      <w:szCs w:val="21"/>
                      <w14:ligatures w14:val="standardContextual"/>
                    </w:rPr>
                    <w:t>位置</w:t>
                  </w:r>
                </w:p>
              </w:tc>
              <w:tc>
                <w:tcPr>
                  <w:tcW w:w="707"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6EC9313E">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sz w:val="21"/>
                      <w:szCs w:val="21"/>
                      <w14:ligatures w14:val="standardContextual"/>
                    </w:rPr>
                  </w:pPr>
                  <w:r>
                    <w:rPr>
                      <w:rFonts w:hint="eastAsia" w:ascii="Times New Roman" w:hAnsi="Times New Roman" w:eastAsia="宋体" w:cs="Times New Roman"/>
                      <w:b/>
                      <w:i w:val="0"/>
                      <w:color w:val="auto"/>
                      <w:sz w:val="21"/>
                      <w:szCs w:val="21"/>
                      <w14:ligatures w14:val="standardContextual"/>
                    </w:rPr>
                    <w:t>占地面积</w:t>
                  </w:r>
                </w:p>
              </w:tc>
              <w:tc>
                <w:tcPr>
                  <w:tcW w:w="708"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37730598">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sz w:val="21"/>
                      <w:szCs w:val="21"/>
                      <w14:ligatures w14:val="standardContextual"/>
                    </w:rPr>
                  </w:pPr>
                  <w:r>
                    <w:rPr>
                      <w:rFonts w:hint="eastAsia" w:ascii="Times New Roman" w:hAnsi="Times New Roman" w:eastAsia="宋体" w:cs="Times New Roman"/>
                      <w:b/>
                      <w:i w:val="0"/>
                      <w:color w:val="auto"/>
                      <w:sz w:val="21"/>
                      <w:szCs w:val="21"/>
                      <w14:ligatures w14:val="standardContextual"/>
                    </w:rPr>
                    <w:t>贮存方式</w:t>
                  </w:r>
                </w:p>
              </w:tc>
              <w:tc>
                <w:tcPr>
                  <w:tcW w:w="452"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52AA7A00">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sz w:val="21"/>
                      <w:szCs w:val="21"/>
                      <w14:ligatures w14:val="standardContextual"/>
                    </w:rPr>
                  </w:pPr>
                  <w:r>
                    <w:rPr>
                      <w:rFonts w:hint="eastAsia" w:ascii="Times New Roman" w:hAnsi="Times New Roman" w:eastAsia="宋体" w:cs="Times New Roman"/>
                      <w:b/>
                      <w:i w:val="0"/>
                      <w:color w:val="auto"/>
                      <w:sz w:val="21"/>
                      <w:szCs w:val="21"/>
                      <w14:ligatures w14:val="standardContextual"/>
                    </w:rPr>
                    <w:t>最大贮存</w:t>
                  </w:r>
                </w:p>
              </w:tc>
              <w:tc>
                <w:tcPr>
                  <w:tcW w:w="617" w:type="pct"/>
                  <w:tcBorders>
                    <w:top w:val="single" w:color="auto" w:sz="12" w:space="0"/>
                    <w:bottom w:val="single" w:color="auto" w:sz="12" w:space="0"/>
                    <w:right w:val="nil"/>
                    <w:insideH w:val="single" w:sz="12" w:space="0"/>
                    <w:insideV w:val="single" w:sz="4" w:space="0"/>
                    <w:tl2br w:val="nil"/>
                    <w:tr2bl w:val="nil"/>
                  </w:tcBorders>
                  <w:vAlign w:val="center"/>
                </w:tcPr>
                <w:p w14:paraId="71172D69">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sz w:val="21"/>
                      <w:szCs w:val="21"/>
                      <w14:ligatures w14:val="standardContextual"/>
                    </w:rPr>
                  </w:pPr>
                  <w:r>
                    <w:rPr>
                      <w:rFonts w:hint="eastAsia" w:ascii="Times New Roman" w:hAnsi="Times New Roman" w:eastAsia="宋体" w:cs="Times New Roman"/>
                      <w:b/>
                      <w:i w:val="0"/>
                      <w:color w:val="auto"/>
                      <w:sz w:val="21"/>
                      <w:szCs w:val="21"/>
                      <w14:ligatures w14:val="standardContextual"/>
                    </w:rPr>
                    <w:t>贮存</w:t>
                  </w:r>
                </w:p>
                <w:p w14:paraId="21360610">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sz w:val="21"/>
                      <w:szCs w:val="21"/>
                      <w14:ligatures w14:val="standardContextual"/>
                    </w:rPr>
                  </w:pPr>
                  <w:r>
                    <w:rPr>
                      <w:rFonts w:hint="eastAsia" w:ascii="Times New Roman" w:hAnsi="Times New Roman" w:eastAsia="宋体" w:cs="Times New Roman"/>
                      <w:b/>
                      <w:i w:val="0"/>
                      <w:color w:val="auto"/>
                      <w:sz w:val="21"/>
                      <w:szCs w:val="21"/>
                      <w14:ligatures w14:val="standardContextual"/>
                    </w:rPr>
                    <w:t>周期</w:t>
                  </w:r>
                </w:p>
              </w:tc>
            </w:tr>
            <w:tr w14:paraId="4948DE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3" w:type="pct"/>
                  <w:vAlign w:val="center"/>
                </w:tcPr>
                <w:p w14:paraId="215B82EE">
                  <w:pPr>
                    <w:widowControl w:val="0"/>
                    <w:overflowPunct w:val="0"/>
                    <w:autoSpaceDE w:val="0"/>
                    <w:autoSpaceDN w:val="0"/>
                    <w:snapToGrid w:val="0"/>
                    <w:jc w:val="center"/>
                    <w:rPr>
                      <w:color w:val="auto"/>
                      <w14:ligatures w14:val="standardContextual"/>
                    </w:rPr>
                  </w:pPr>
                  <w:r>
                    <w:rPr>
                      <w:rFonts w:hint="eastAsia"/>
                      <w:color w:val="auto"/>
                      <w14:ligatures w14:val="standardContextual"/>
                    </w:rPr>
                    <w:t>1</w:t>
                  </w:r>
                </w:p>
              </w:tc>
              <w:tc>
                <w:tcPr>
                  <w:tcW w:w="1056" w:type="pct"/>
                  <w:vAlign w:val="center"/>
                </w:tcPr>
                <w:p w14:paraId="4EBAAEDD">
                  <w:pPr>
                    <w:widowControl w:val="0"/>
                    <w:overflowPunct w:val="0"/>
                    <w:autoSpaceDE w:val="0"/>
                    <w:autoSpaceDN w:val="0"/>
                    <w:snapToGrid w:val="0"/>
                    <w:jc w:val="center"/>
                    <w:rPr>
                      <w:color w:val="auto"/>
                      <w14:ligatures w14:val="standardContextual"/>
                    </w:rPr>
                  </w:pPr>
                  <w:r>
                    <w:rPr>
                      <w:rFonts w:hint="eastAsia"/>
                      <w:color w:val="auto"/>
                      <w14:ligatures w14:val="standardContextual"/>
                    </w:rPr>
                    <w:t>灰渣间</w:t>
                  </w:r>
                </w:p>
              </w:tc>
              <w:tc>
                <w:tcPr>
                  <w:tcW w:w="1067" w:type="pct"/>
                  <w:vAlign w:val="center"/>
                </w:tcPr>
                <w:p w14:paraId="6AD33C49">
                  <w:pPr>
                    <w:widowControl w:val="0"/>
                    <w:overflowPunct w:val="0"/>
                    <w:autoSpaceDE w:val="0"/>
                    <w:autoSpaceDN w:val="0"/>
                    <w:snapToGrid w:val="0"/>
                    <w:jc w:val="center"/>
                    <w:rPr>
                      <w:color w:val="auto"/>
                      <w14:ligatures w14:val="standardContextual"/>
                    </w:rPr>
                  </w:pPr>
                  <w:r>
                    <w:rPr>
                      <w:rFonts w:hint="eastAsia"/>
                      <w:color w:val="auto"/>
                      <w14:ligatures w14:val="standardContextual"/>
                    </w:rPr>
                    <w:t>锅炉房1F</w:t>
                  </w:r>
                </w:p>
              </w:tc>
              <w:tc>
                <w:tcPr>
                  <w:tcW w:w="707" w:type="pct"/>
                  <w:vAlign w:val="center"/>
                </w:tcPr>
                <w:p w14:paraId="44BC9ADB">
                  <w:pPr>
                    <w:widowControl w:val="0"/>
                    <w:overflowPunct w:val="0"/>
                    <w:autoSpaceDE w:val="0"/>
                    <w:autoSpaceDN w:val="0"/>
                    <w:snapToGrid w:val="0"/>
                    <w:jc w:val="center"/>
                    <w:rPr>
                      <w:color w:val="auto"/>
                      <w14:ligatures w14:val="standardContextual"/>
                    </w:rPr>
                  </w:pPr>
                  <w:r>
                    <w:rPr>
                      <w:rFonts w:hint="eastAsia"/>
                      <w:color w:val="auto"/>
                      <w14:ligatures w14:val="standardContextual"/>
                    </w:rPr>
                    <w:t>80m</w:t>
                  </w:r>
                  <w:r>
                    <w:rPr>
                      <w:rFonts w:hint="eastAsia"/>
                      <w:color w:val="auto"/>
                      <w:vertAlign w:val="superscript"/>
                      <w14:ligatures w14:val="standardContextual"/>
                    </w:rPr>
                    <w:t>2</w:t>
                  </w:r>
                </w:p>
              </w:tc>
              <w:tc>
                <w:tcPr>
                  <w:tcW w:w="708" w:type="pct"/>
                  <w:vAlign w:val="center"/>
                </w:tcPr>
                <w:p w14:paraId="128D916A">
                  <w:pPr>
                    <w:widowControl w:val="0"/>
                    <w:overflowPunct w:val="0"/>
                    <w:autoSpaceDE w:val="0"/>
                    <w:autoSpaceDN w:val="0"/>
                    <w:snapToGrid w:val="0"/>
                    <w:jc w:val="center"/>
                    <w:rPr>
                      <w:color w:val="auto"/>
                      <w14:ligatures w14:val="standardContextual"/>
                    </w:rPr>
                  </w:pPr>
                  <w:r>
                    <w:rPr>
                      <w:color w:val="auto"/>
                      <w14:ligatures w14:val="standardContextual"/>
                    </w:rPr>
                    <w:t>分类贮存</w:t>
                  </w:r>
                </w:p>
              </w:tc>
              <w:tc>
                <w:tcPr>
                  <w:tcW w:w="452" w:type="pct"/>
                  <w:vAlign w:val="center"/>
                </w:tcPr>
                <w:p w14:paraId="5C10386B">
                  <w:pPr>
                    <w:widowControl w:val="0"/>
                    <w:overflowPunct w:val="0"/>
                    <w:autoSpaceDE w:val="0"/>
                    <w:autoSpaceDN w:val="0"/>
                    <w:snapToGrid w:val="0"/>
                    <w:jc w:val="center"/>
                    <w:rPr>
                      <w:color w:val="auto"/>
                      <w14:ligatures w14:val="standardContextual"/>
                    </w:rPr>
                  </w:pPr>
                  <w:r>
                    <w:rPr>
                      <w:rFonts w:hint="eastAsia"/>
                      <w:color w:val="auto"/>
                      <w14:ligatures w14:val="standardContextual"/>
                    </w:rPr>
                    <w:t>168t</w:t>
                  </w:r>
                </w:p>
              </w:tc>
              <w:tc>
                <w:tcPr>
                  <w:tcW w:w="617" w:type="pct"/>
                  <w:vAlign w:val="center"/>
                </w:tcPr>
                <w:p w14:paraId="75514173">
                  <w:pPr>
                    <w:widowControl w:val="0"/>
                    <w:overflowPunct w:val="0"/>
                    <w:autoSpaceDE w:val="0"/>
                    <w:autoSpaceDN w:val="0"/>
                    <w:snapToGrid w:val="0"/>
                    <w:jc w:val="center"/>
                    <w:rPr>
                      <w:color w:val="auto"/>
                      <w14:ligatures w14:val="standardContextual"/>
                    </w:rPr>
                  </w:pPr>
                  <w:r>
                    <w:rPr>
                      <w:rFonts w:hint="eastAsia"/>
                      <w:color w:val="auto"/>
                      <w14:ligatures w14:val="standardContextual"/>
                    </w:rPr>
                    <w:t>1月</w:t>
                  </w:r>
                </w:p>
              </w:tc>
            </w:tr>
          </w:tbl>
          <w:p w14:paraId="53B4C829">
            <w:pPr>
              <w:pStyle w:val="3"/>
              <w:ind w:firstLine="480"/>
              <w:rPr>
                <w:color w:val="auto"/>
              </w:rPr>
            </w:pPr>
            <w:r>
              <w:rPr>
                <w:rFonts w:hint="eastAsia"/>
                <w:color w:val="auto"/>
              </w:rPr>
              <w:t>一般固废间满足相应防渗漏、防雨淋、防扬尘等环境保护要求的前提下，项目营运产生的一般固体废物均能得到合理处置，对环境影响不大。</w:t>
            </w:r>
          </w:p>
          <w:p w14:paraId="434F9E40">
            <w:pPr>
              <w:pStyle w:val="3"/>
              <w:ind w:firstLine="480"/>
              <w:rPr>
                <w:color w:val="auto"/>
              </w:rPr>
            </w:pPr>
            <w:r>
              <w:rPr>
                <w:rFonts w:hint="eastAsia"/>
                <w:color w:val="auto"/>
              </w:rPr>
              <w:t>2）危险废物</w:t>
            </w:r>
          </w:p>
          <w:p w14:paraId="78B5C9C8">
            <w:pPr>
              <w:pStyle w:val="3"/>
              <w:ind w:firstLine="480"/>
              <w:rPr>
                <w:color w:val="auto"/>
              </w:rPr>
            </w:pPr>
            <w:r>
              <w:rPr>
                <w:rFonts w:hint="eastAsia"/>
                <w:color w:val="auto"/>
              </w:rPr>
              <w:t>根据《建设项目危险废物环境影响评价指南》（环保部公告</w:t>
            </w:r>
            <w:r>
              <w:rPr>
                <w:color w:val="auto"/>
              </w:rPr>
              <w:t xml:space="preserve">[2017]43 </w:t>
            </w:r>
            <w:r>
              <w:rPr>
                <w:rFonts w:hint="eastAsia"/>
                <w:color w:val="auto"/>
              </w:rPr>
              <w:t>号）、《危险废物贮存污染控制标准》（</w:t>
            </w:r>
            <w:r>
              <w:rPr>
                <w:color w:val="auto"/>
              </w:rPr>
              <w:t>GB18597-2023</w:t>
            </w:r>
            <w:r>
              <w:rPr>
                <w:rFonts w:hint="eastAsia"/>
                <w:color w:val="auto"/>
              </w:rPr>
              <w:t>）中的相关要求，本项目危险废物产排汇总以及临时贮存场所如下：</w:t>
            </w:r>
          </w:p>
          <w:p w14:paraId="2E7A1B3E">
            <w:pPr>
              <w:pStyle w:val="49"/>
              <w:rPr>
                <w:color w:val="auto"/>
              </w:rPr>
            </w:pPr>
            <w:r>
              <w:rPr>
                <w:rFonts w:hint="eastAsia"/>
                <w:color w:val="auto"/>
              </w:rPr>
              <w:t xml:space="preserve">表4- </w:t>
            </w:r>
            <w:r>
              <w:rPr>
                <w:color w:val="auto"/>
              </w:rPr>
              <w:t>15</w:t>
            </w:r>
            <w:r>
              <w:rPr>
                <w:rFonts w:hint="eastAsia"/>
                <w:color w:val="auto"/>
              </w:rPr>
              <w:t>：危险废物产生情况一览表</w:t>
            </w:r>
          </w:p>
          <w:tbl>
            <w:tblPr>
              <w:tblStyle w:val="50"/>
              <w:tblW w:w="793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398"/>
              <w:gridCol w:w="738"/>
              <w:gridCol w:w="1611"/>
              <w:gridCol w:w="853"/>
              <w:gridCol w:w="714"/>
              <w:gridCol w:w="441"/>
              <w:gridCol w:w="694"/>
              <w:gridCol w:w="695"/>
              <w:gridCol w:w="701"/>
              <w:gridCol w:w="1093"/>
            </w:tblGrid>
            <w:tr w14:paraId="3F27F9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11" w:hRule="atLeast"/>
                <w:jc w:val="center"/>
              </w:trPr>
              <w:tc>
                <w:tcPr>
                  <w:tcW w:w="251" w:type="pct"/>
                  <w:tcBorders>
                    <w:top w:val="single" w:color="auto" w:sz="12" w:space="0"/>
                    <w:left w:val="nil"/>
                    <w:bottom w:val="single" w:color="auto" w:sz="12" w:space="0"/>
                    <w:right w:val="single" w:color="auto" w:sz="4" w:space="0"/>
                    <w:insideH w:val="single" w:sz="12" w:space="0"/>
                    <w:insideV w:val="single" w:sz="4" w:space="0"/>
                    <w:tl2br w:val="nil"/>
                    <w:tr2bl w:val="nil"/>
                  </w:tcBorders>
                  <w:vAlign w:val="center"/>
                </w:tcPr>
                <w:p w14:paraId="308B071C">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sz w:val="21"/>
                      <w:szCs w:val="21"/>
                      <w14:ligatures w14:val="standardContextual"/>
                    </w:rPr>
                  </w:pPr>
                  <w:r>
                    <w:rPr>
                      <w:rFonts w:hint="default" w:ascii="Times New Roman" w:hAnsi="Times New Roman" w:eastAsia="宋体" w:cs="Times New Roman"/>
                      <w:b/>
                      <w:i w:val="0"/>
                      <w:color w:val="auto"/>
                      <w:sz w:val="21"/>
                      <w:szCs w:val="21"/>
                      <w14:ligatures w14:val="standardContextual"/>
                    </w:rPr>
                    <w:t>序号</w:t>
                  </w:r>
                </w:p>
              </w:tc>
              <w:tc>
                <w:tcPr>
                  <w:tcW w:w="465"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609C985C">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sz w:val="21"/>
                      <w:szCs w:val="21"/>
                      <w14:ligatures w14:val="standardContextual"/>
                    </w:rPr>
                  </w:pPr>
                  <w:r>
                    <w:rPr>
                      <w:rFonts w:hint="default" w:ascii="Times New Roman" w:hAnsi="Times New Roman" w:eastAsia="宋体" w:cs="Times New Roman"/>
                      <w:b/>
                      <w:i w:val="0"/>
                      <w:color w:val="auto"/>
                      <w:sz w:val="21"/>
                      <w:szCs w:val="21"/>
                      <w14:ligatures w14:val="standardContextual"/>
                    </w:rPr>
                    <w:t>危废名称</w:t>
                  </w:r>
                </w:p>
              </w:tc>
              <w:tc>
                <w:tcPr>
                  <w:tcW w:w="1015"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728DDD6E">
                  <w:pPr>
                    <w:keepLines w:val="0"/>
                    <w:widowControl w:val="0"/>
                    <w:suppressLineNumbers w:val="0"/>
                    <w:suppressAutoHyphens w:val="0"/>
                    <w:wordWrap w:val="0"/>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sz w:val="21"/>
                      <w:szCs w:val="21"/>
                      <w14:ligatures w14:val="standardContextual"/>
                    </w:rPr>
                  </w:pPr>
                  <w:r>
                    <w:rPr>
                      <w:rFonts w:hint="default" w:ascii="Times New Roman" w:hAnsi="Times New Roman" w:eastAsia="宋体" w:cs="Times New Roman"/>
                      <w:b/>
                      <w:i w:val="0"/>
                      <w:color w:val="auto"/>
                      <w:sz w:val="21"/>
                      <w:szCs w:val="21"/>
                      <w14:ligatures w14:val="standardContextual"/>
                    </w:rPr>
                    <w:t>危废类别</w:t>
                  </w:r>
                  <w:r>
                    <w:rPr>
                      <w:rFonts w:hint="eastAsia" w:ascii="Times New Roman" w:hAnsi="Times New Roman" w:eastAsia="宋体" w:cs="Times New Roman"/>
                      <w:b/>
                      <w:i w:val="0"/>
                      <w:color w:val="auto"/>
                      <w:sz w:val="21"/>
                      <w:szCs w:val="21"/>
                      <w14:ligatures w14:val="standardContextual"/>
                    </w:rPr>
                    <w:t>及</w:t>
                  </w:r>
                  <w:r>
                    <w:rPr>
                      <w:rFonts w:hint="default" w:ascii="Times New Roman" w:hAnsi="Times New Roman" w:eastAsia="宋体" w:cs="Times New Roman"/>
                      <w:b/>
                      <w:i w:val="0"/>
                      <w:color w:val="auto"/>
                      <w:sz w:val="21"/>
                      <w:szCs w:val="21"/>
                      <w14:ligatures w14:val="standardContextual"/>
                    </w:rPr>
                    <w:t>代码</w:t>
                  </w:r>
                </w:p>
              </w:tc>
              <w:tc>
                <w:tcPr>
                  <w:tcW w:w="537"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4774C743">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sz w:val="21"/>
                      <w:szCs w:val="21"/>
                      <w14:ligatures w14:val="standardContextual"/>
                    </w:rPr>
                  </w:pPr>
                  <w:r>
                    <w:rPr>
                      <w:rFonts w:hint="default" w:ascii="Times New Roman" w:hAnsi="Times New Roman" w:eastAsia="宋体" w:cs="Times New Roman"/>
                      <w:b/>
                      <w:i w:val="0"/>
                      <w:color w:val="auto"/>
                      <w:sz w:val="21"/>
                      <w:szCs w:val="21"/>
                      <w14:ligatures w14:val="standardContextual"/>
                    </w:rPr>
                    <w:t>产生量（t/a）</w:t>
                  </w:r>
                </w:p>
              </w:tc>
              <w:tc>
                <w:tcPr>
                  <w:tcW w:w="450"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660D2A62">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sz w:val="21"/>
                      <w:szCs w:val="21"/>
                      <w14:ligatures w14:val="standardContextual"/>
                    </w:rPr>
                  </w:pPr>
                  <w:r>
                    <w:rPr>
                      <w:rFonts w:hint="default" w:ascii="Times New Roman" w:hAnsi="Times New Roman" w:eastAsia="宋体" w:cs="Times New Roman"/>
                      <w:b/>
                      <w:i w:val="0"/>
                      <w:color w:val="auto"/>
                      <w:sz w:val="21"/>
                      <w:szCs w:val="21"/>
                      <w14:ligatures w14:val="standardContextual"/>
                    </w:rPr>
                    <w:t>产生工序</w:t>
                  </w:r>
                </w:p>
              </w:tc>
              <w:tc>
                <w:tcPr>
                  <w:tcW w:w="278"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221FD1A9">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sz w:val="21"/>
                      <w:szCs w:val="21"/>
                      <w14:ligatures w14:val="standardContextual"/>
                    </w:rPr>
                  </w:pPr>
                  <w:r>
                    <w:rPr>
                      <w:rFonts w:hint="default" w:ascii="Times New Roman" w:hAnsi="Times New Roman" w:eastAsia="宋体" w:cs="Times New Roman"/>
                      <w:b/>
                      <w:i w:val="0"/>
                      <w:color w:val="auto"/>
                      <w:sz w:val="21"/>
                      <w:szCs w:val="21"/>
                      <w14:ligatures w14:val="standardContextual"/>
                    </w:rPr>
                    <w:t>形态</w:t>
                  </w:r>
                </w:p>
              </w:tc>
              <w:tc>
                <w:tcPr>
                  <w:tcW w:w="437"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39BB14FD">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sz w:val="21"/>
                      <w:szCs w:val="21"/>
                      <w14:ligatures w14:val="standardContextual"/>
                    </w:rPr>
                  </w:pPr>
                  <w:r>
                    <w:rPr>
                      <w:rFonts w:hint="default" w:ascii="Times New Roman" w:hAnsi="Times New Roman" w:eastAsia="宋体" w:cs="Times New Roman"/>
                      <w:b/>
                      <w:i w:val="0"/>
                      <w:color w:val="auto"/>
                      <w:sz w:val="21"/>
                      <w:szCs w:val="21"/>
                      <w14:ligatures w14:val="standardContextual"/>
                    </w:rPr>
                    <w:t>有害成分</w:t>
                  </w:r>
                </w:p>
              </w:tc>
              <w:tc>
                <w:tcPr>
                  <w:tcW w:w="438"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59210A85">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sz w:val="21"/>
                      <w:szCs w:val="21"/>
                      <w14:ligatures w14:val="standardContextual"/>
                    </w:rPr>
                  </w:pPr>
                  <w:r>
                    <w:rPr>
                      <w:rFonts w:hint="default" w:ascii="Times New Roman" w:hAnsi="Times New Roman" w:eastAsia="宋体" w:cs="Times New Roman"/>
                      <w:b/>
                      <w:i w:val="0"/>
                      <w:color w:val="auto"/>
                      <w:sz w:val="21"/>
                      <w:szCs w:val="21"/>
                      <w14:ligatures w14:val="standardContextual"/>
                    </w:rPr>
                    <w:t>产废周期</w:t>
                  </w:r>
                </w:p>
              </w:tc>
              <w:tc>
                <w:tcPr>
                  <w:tcW w:w="441"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639D7DA3">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sz w:val="21"/>
                      <w:szCs w:val="21"/>
                      <w14:ligatures w14:val="standardContextual"/>
                    </w:rPr>
                  </w:pPr>
                  <w:r>
                    <w:rPr>
                      <w:rFonts w:hint="default" w:ascii="Times New Roman" w:hAnsi="Times New Roman" w:eastAsia="宋体" w:cs="Times New Roman"/>
                      <w:b/>
                      <w:i w:val="0"/>
                      <w:color w:val="auto"/>
                      <w:sz w:val="21"/>
                      <w:szCs w:val="21"/>
                      <w14:ligatures w14:val="standardContextual"/>
                    </w:rPr>
                    <w:t>危险特性</w:t>
                  </w:r>
                </w:p>
              </w:tc>
              <w:tc>
                <w:tcPr>
                  <w:tcW w:w="688" w:type="pct"/>
                  <w:tcBorders>
                    <w:top w:val="single" w:color="auto" w:sz="12" w:space="0"/>
                    <w:bottom w:val="single" w:color="auto" w:sz="12" w:space="0"/>
                    <w:right w:val="nil"/>
                    <w:insideH w:val="single" w:sz="12" w:space="0"/>
                    <w:insideV w:val="single" w:sz="4" w:space="0"/>
                    <w:tl2br w:val="nil"/>
                    <w:tr2bl w:val="nil"/>
                  </w:tcBorders>
                  <w:vAlign w:val="center"/>
                </w:tcPr>
                <w:p w14:paraId="2BE9B094">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sz w:val="21"/>
                      <w:szCs w:val="21"/>
                      <w14:ligatures w14:val="standardContextual"/>
                    </w:rPr>
                  </w:pPr>
                  <w:r>
                    <w:rPr>
                      <w:rFonts w:hint="default" w:ascii="Times New Roman" w:hAnsi="Times New Roman" w:eastAsia="宋体" w:cs="Times New Roman"/>
                      <w:b/>
                      <w:i w:val="0"/>
                      <w:color w:val="auto"/>
                      <w:sz w:val="21"/>
                      <w:szCs w:val="21"/>
                      <w14:ligatures w14:val="standardContextual"/>
                    </w:rPr>
                    <w:t>污染防治措施</w:t>
                  </w:r>
                </w:p>
              </w:tc>
            </w:tr>
            <w:tr w14:paraId="7E425B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9" w:hRule="atLeast"/>
                <w:jc w:val="center"/>
              </w:trPr>
              <w:tc>
                <w:tcPr>
                  <w:tcW w:w="251" w:type="pct"/>
                  <w:vAlign w:val="center"/>
                </w:tcPr>
                <w:p w14:paraId="7BA90319">
                  <w:pPr>
                    <w:widowControl w:val="0"/>
                    <w:overflowPunct w:val="0"/>
                    <w:autoSpaceDE w:val="0"/>
                    <w:autoSpaceDN w:val="0"/>
                    <w:snapToGrid w:val="0"/>
                    <w:jc w:val="center"/>
                    <w:rPr>
                      <w:color w:val="auto"/>
                      <w14:ligatures w14:val="standardContextual"/>
                    </w:rPr>
                  </w:pPr>
                  <w:r>
                    <w:rPr>
                      <w:rFonts w:hint="eastAsia"/>
                      <w:color w:val="auto"/>
                      <w14:ligatures w14:val="standardContextual"/>
                    </w:rPr>
                    <w:t>1</w:t>
                  </w:r>
                </w:p>
              </w:tc>
              <w:tc>
                <w:tcPr>
                  <w:tcW w:w="465" w:type="pct"/>
                  <w:vAlign w:val="center"/>
                </w:tcPr>
                <w:p w14:paraId="1DE8CD4C">
                  <w:pPr>
                    <w:widowControl w:val="0"/>
                    <w:overflowPunct w:val="0"/>
                    <w:autoSpaceDE w:val="0"/>
                    <w:autoSpaceDN w:val="0"/>
                    <w:snapToGrid w:val="0"/>
                    <w:jc w:val="center"/>
                    <w:rPr>
                      <w:color w:val="auto"/>
                      <w:kern w:val="18"/>
                      <w14:ligatures w14:val="standardContextual"/>
                    </w:rPr>
                  </w:pPr>
                  <w:r>
                    <w:rPr>
                      <w:rFonts w:hint="eastAsia"/>
                      <w:color w:val="auto"/>
                      <w14:ligatures w14:val="standardContextual"/>
                    </w:rPr>
                    <w:t>S5废润滑油及废油桶</w:t>
                  </w:r>
                </w:p>
              </w:tc>
              <w:tc>
                <w:tcPr>
                  <w:tcW w:w="1015" w:type="pct"/>
                  <w:vAlign w:val="center"/>
                </w:tcPr>
                <w:p w14:paraId="07188FCA">
                  <w:pPr>
                    <w:widowControl w:val="0"/>
                    <w:wordWrap w:val="0"/>
                    <w:overflowPunct w:val="0"/>
                    <w:autoSpaceDE w:val="0"/>
                    <w:autoSpaceDN w:val="0"/>
                    <w:snapToGrid w:val="0"/>
                    <w:jc w:val="center"/>
                    <w:rPr>
                      <w:bCs/>
                      <w:color w:val="auto"/>
                      <w14:ligatures w14:val="standardContextual"/>
                    </w:rPr>
                  </w:pPr>
                  <w:r>
                    <w:rPr>
                      <w:rFonts w:hint="eastAsia"/>
                      <w:color w:val="auto"/>
                      <w14:ligatures w14:val="standardContextual"/>
                    </w:rPr>
                    <w:t>HW08（900-249-08）</w:t>
                  </w:r>
                </w:p>
              </w:tc>
              <w:tc>
                <w:tcPr>
                  <w:tcW w:w="537" w:type="pct"/>
                  <w:vAlign w:val="center"/>
                </w:tcPr>
                <w:p w14:paraId="5450EE2E">
                  <w:pPr>
                    <w:widowControl w:val="0"/>
                    <w:overflowPunct w:val="0"/>
                    <w:autoSpaceDE w:val="0"/>
                    <w:autoSpaceDN w:val="0"/>
                    <w:snapToGrid w:val="0"/>
                    <w:jc w:val="center"/>
                    <w:rPr>
                      <w:bCs/>
                      <w:color w:val="auto"/>
                      <w14:ligatures w14:val="standardContextual"/>
                    </w:rPr>
                  </w:pPr>
                  <w:r>
                    <w:rPr>
                      <w:rFonts w:hint="eastAsia"/>
                      <w:color w:val="auto"/>
                      <w14:ligatures w14:val="standardContextual"/>
                    </w:rPr>
                    <w:t>0.05</w:t>
                  </w:r>
                </w:p>
              </w:tc>
              <w:tc>
                <w:tcPr>
                  <w:tcW w:w="450" w:type="pct"/>
                  <w:vAlign w:val="center"/>
                </w:tcPr>
                <w:p w14:paraId="3FCE4496">
                  <w:pPr>
                    <w:widowControl w:val="0"/>
                    <w:overflowPunct w:val="0"/>
                    <w:autoSpaceDE w:val="0"/>
                    <w:autoSpaceDN w:val="0"/>
                    <w:snapToGrid w:val="0"/>
                    <w:jc w:val="center"/>
                    <w:rPr>
                      <w:color w:val="auto"/>
                      <w14:ligatures w14:val="standardContextual"/>
                    </w:rPr>
                  </w:pPr>
                  <w:r>
                    <w:rPr>
                      <w:rFonts w:hint="eastAsia"/>
                      <w:color w:val="auto"/>
                      <w14:ligatures w14:val="standardContextual"/>
                    </w:rPr>
                    <w:t>设备维修</w:t>
                  </w:r>
                </w:p>
              </w:tc>
              <w:tc>
                <w:tcPr>
                  <w:tcW w:w="278" w:type="pct"/>
                  <w:vAlign w:val="center"/>
                </w:tcPr>
                <w:p w14:paraId="6729FB37">
                  <w:pPr>
                    <w:widowControl w:val="0"/>
                    <w:overflowPunct w:val="0"/>
                    <w:autoSpaceDE w:val="0"/>
                    <w:autoSpaceDN w:val="0"/>
                    <w:snapToGrid w:val="0"/>
                    <w:jc w:val="center"/>
                    <w:rPr>
                      <w:color w:val="auto"/>
                      <w14:ligatures w14:val="standardContextual"/>
                    </w:rPr>
                  </w:pPr>
                  <w:r>
                    <w:rPr>
                      <w:rFonts w:hint="eastAsia"/>
                      <w:color w:val="auto"/>
                      <w14:ligatures w14:val="standardContextual"/>
                    </w:rPr>
                    <w:t>液/固</w:t>
                  </w:r>
                </w:p>
              </w:tc>
              <w:tc>
                <w:tcPr>
                  <w:tcW w:w="437" w:type="pct"/>
                  <w:vAlign w:val="center"/>
                </w:tcPr>
                <w:p w14:paraId="50976D2F">
                  <w:pPr>
                    <w:widowControl w:val="0"/>
                    <w:overflowPunct w:val="0"/>
                    <w:autoSpaceDE w:val="0"/>
                    <w:autoSpaceDN w:val="0"/>
                    <w:snapToGrid w:val="0"/>
                    <w:jc w:val="center"/>
                    <w:rPr>
                      <w:color w:val="auto"/>
                      <w14:ligatures w14:val="standardContextual"/>
                    </w:rPr>
                  </w:pPr>
                  <w:r>
                    <w:rPr>
                      <w:color w:val="auto"/>
                      <w14:ligatures w14:val="standardContextual"/>
                    </w:rPr>
                    <w:t>矿物油等</w:t>
                  </w:r>
                </w:p>
              </w:tc>
              <w:tc>
                <w:tcPr>
                  <w:tcW w:w="438" w:type="pct"/>
                  <w:vAlign w:val="center"/>
                </w:tcPr>
                <w:p w14:paraId="5C4475BF">
                  <w:pPr>
                    <w:widowControl w:val="0"/>
                    <w:overflowPunct w:val="0"/>
                    <w:autoSpaceDE w:val="0"/>
                    <w:autoSpaceDN w:val="0"/>
                    <w:snapToGrid w:val="0"/>
                    <w:jc w:val="center"/>
                    <w:rPr>
                      <w:color w:val="auto"/>
                      <w14:ligatures w14:val="standardContextual"/>
                    </w:rPr>
                  </w:pPr>
                  <w:r>
                    <w:rPr>
                      <w:rFonts w:hint="eastAsia"/>
                      <w:color w:val="auto"/>
                      <w14:ligatures w14:val="standardContextual"/>
                    </w:rPr>
                    <w:t>一年</w:t>
                  </w:r>
                </w:p>
              </w:tc>
              <w:tc>
                <w:tcPr>
                  <w:tcW w:w="441" w:type="pct"/>
                  <w:vAlign w:val="center"/>
                </w:tcPr>
                <w:p w14:paraId="4965F9C7">
                  <w:pPr>
                    <w:widowControl w:val="0"/>
                    <w:overflowPunct w:val="0"/>
                    <w:autoSpaceDE w:val="0"/>
                    <w:autoSpaceDN w:val="0"/>
                    <w:snapToGrid w:val="0"/>
                    <w:jc w:val="center"/>
                    <w:rPr>
                      <w:color w:val="auto"/>
                      <w14:ligatures w14:val="standardContextual"/>
                    </w:rPr>
                  </w:pPr>
                  <w:r>
                    <w:rPr>
                      <w:color w:val="auto"/>
                      <w14:ligatures w14:val="standardContextual"/>
                    </w:rPr>
                    <w:t>T</w:t>
                  </w:r>
                  <w:r>
                    <w:rPr>
                      <w:rFonts w:hint="eastAsia"/>
                      <w:color w:val="auto"/>
                      <w14:ligatures w14:val="standardContextual"/>
                    </w:rPr>
                    <w:t>，</w:t>
                  </w:r>
                  <w:r>
                    <w:rPr>
                      <w:color w:val="auto"/>
                      <w14:ligatures w14:val="standardContextual"/>
                    </w:rPr>
                    <w:t>I</w:t>
                  </w:r>
                </w:p>
              </w:tc>
              <w:tc>
                <w:tcPr>
                  <w:tcW w:w="688" w:type="pct"/>
                  <w:vMerge w:val="restart"/>
                  <w:vAlign w:val="center"/>
                </w:tcPr>
                <w:p w14:paraId="682C1584">
                  <w:pPr>
                    <w:widowControl w:val="0"/>
                    <w:overflowPunct w:val="0"/>
                    <w:autoSpaceDE w:val="0"/>
                    <w:autoSpaceDN w:val="0"/>
                    <w:snapToGrid w:val="0"/>
                    <w:jc w:val="center"/>
                    <w:rPr>
                      <w:color w:val="auto"/>
                      <w14:ligatures w14:val="standardContextual"/>
                    </w:rPr>
                  </w:pPr>
                  <w:r>
                    <w:rPr>
                      <w:rFonts w:hint="eastAsia"/>
                      <w:color w:val="auto"/>
                      <w14:ligatures w14:val="standardContextual"/>
                    </w:rPr>
                    <w:t>定期交由有资质单位处置</w:t>
                  </w:r>
                </w:p>
              </w:tc>
            </w:tr>
            <w:tr w14:paraId="507B0E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9" w:hRule="atLeast"/>
                <w:jc w:val="center"/>
              </w:trPr>
              <w:tc>
                <w:tcPr>
                  <w:tcW w:w="251" w:type="pct"/>
                  <w:vAlign w:val="center"/>
                </w:tcPr>
                <w:p w14:paraId="7DD98B4B">
                  <w:pPr>
                    <w:widowControl w:val="0"/>
                    <w:overflowPunct w:val="0"/>
                    <w:autoSpaceDE w:val="0"/>
                    <w:autoSpaceDN w:val="0"/>
                    <w:snapToGrid w:val="0"/>
                    <w:jc w:val="center"/>
                    <w:rPr>
                      <w:color w:val="auto"/>
                      <w14:ligatures w14:val="standardContextual"/>
                    </w:rPr>
                  </w:pPr>
                  <w:r>
                    <w:rPr>
                      <w:rFonts w:hint="eastAsia"/>
                      <w:color w:val="auto"/>
                      <w14:ligatures w14:val="standardContextual"/>
                    </w:rPr>
                    <w:t>2</w:t>
                  </w:r>
                </w:p>
              </w:tc>
              <w:tc>
                <w:tcPr>
                  <w:tcW w:w="465" w:type="pct"/>
                  <w:vAlign w:val="center"/>
                </w:tcPr>
                <w:p w14:paraId="1DC1B841">
                  <w:pPr>
                    <w:widowControl w:val="0"/>
                    <w:overflowPunct w:val="0"/>
                    <w:autoSpaceDE w:val="0"/>
                    <w:autoSpaceDN w:val="0"/>
                    <w:snapToGrid w:val="0"/>
                    <w:jc w:val="center"/>
                    <w:rPr>
                      <w:color w:val="auto"/>
                      <w14:ligatures w14:val="standardContextual"/>
                    </w:rPr>
                  </w:pPr>
                  <w:r>
                    <w:rPr>
                      <w:rFonts w:hint="eastAsia"/>
                      <w:color w:val="auto"/>
                      <w14:ligatures w14:val="standardContextual"/>
                    </w:rPr>
                    <w:t>S6</w:t>
                  </w:r>
                  <w:r>
                    <w:rPr>
                      <w:rFonts w:hint="eastAsia" w:ascii="宋体" w:hAnsi="宋体" w:cs="宋体"/>
                      <w:color w:val="auto"/>
                      <w14:ligatures w14:val="standardContextual"/>
                    </w:rPr>
                    <w:t>废含油抹布</w:t>
                  </w:r>
                </w:p>
              </w:tc>
              <w:tc>
                <w:tcPr>
                  <w:tcW w:w="1015" w:type="pct"/>
                  <w:vAlign w:val="center"/>
                </w:tcPr>
                <w:p w14:paraId="2BC660C5">
                  <w:pPr>
                    <w:widowControl w:val="0"/>
                    <w:wordWrap w:val="0"/>
                    <w:overflowPunct w:val="0"/>
                    <w:autoSpaceDE w:val="0"/>
                    <w:autoSpaceDN w:val="0"/>
                    <w:snapToGrid w:val="0"/>
                    <w:jc w:val="center"/>
                    <w:rPr>
                      <w:color w:val="auto"/>
                      <w14:ligatures w14:val="standardContextual"/>
                    </w:rPr>
                  </w:pPr>
                  <w:r>
                    <w:rPr>
                      <w:color w:val="auto"/>
                      <w14:ligatures w14:val="standardContextual"/>
                    </w:rPr>
                    <w:t>HW0</w:t>
                  </w:r>
                  <w:r>
                    <w:rPr>
                      <w:rFonts w:hint="eastAsia"/>
                      <w:color w:val="auto"/>
                      <w14:ligatures w14:val="standardContextual"/>
                    </w:rPr>
                    <w:t>9（</w:t>
                  </w:r>
                  <w:bookmarkStart w:id="251" w:name="OLE_LINK96"/>
                  <w:r>
                    <w:rPr>
                      <w:color w:val="auto"/>
                      <w14:ligatures w14:val="standardContextual"/>
                    </w:rPr>
                    <w:t>900-041-49</w:t>
                  </w:r>
                  <w:bookmarkEnd w:id="251"/>
                  <w:r>
                    <w:rPr>
                      <w:rFonts w:hint="eastAsia"/>
                      <w:color w:val="auto"/>
                      <w14:ligatures w14:val="standardContextual"/>
                    </w:rPr>
                    <w:t>）</w:t>
                  </w:r>
                </w:p>
              </w:tc>
              <w:tc>
                <w:tcPr>
                  <w:tcW w:w="537" w:type="pct"/>
                  <w:vAlign w:val="center"/>
                </w:tcPr>
                <w:p w14:paraId="747B2028">
                  <w:pPr>
                    <w:widowControl w:val="0"/>
                    <w:overflowPunct w:val="0"/>
                    <w:autoSpaceDE w:val="0"/>
                    <w:autoSpaceDN w:val="0"/>
                    <w:snapToGrid w:val="0"/>
                    <w:jc w:val="center"/>
                    <w:rPr>
                      <w:color w:val="auto"/>
                      <w14:ligatures w14:val="standardContextual"/>
                    </w:rPr>
                  </w:pPr>
                  <w:r>
                    <w:rPr>
                      <w:rFonts w:hint="eastAsia"/>
                      <w:color w:val="auto"/>
                      <w14:ligatures w14:val="standardContextual"/>
                    </w:rPr>
                    <w:t>0.01</w:t>
                  </w:r>
                </w:p>
              </w:tc>
              <w:tc>
                <w:tcPr>
                  <w:tcW w:w="450" w:type="pct"/>
                  <w:vAlign w:val="center"/>
                </w:tcPr>
                <w:p w14:paraId="328DA062">
                  <w:pPr>
                    <w:widowControl w:val="0"/>
                    <w:overflowPunct w:val="0"/>
                    <w:autoSpaceDE w:val="0"/>
                    <w:autoSpaceDN w:val="0"/>
                    <w:snapToGrid w:val="0"/>
                    <w:jc w:val="center"/>
                    <w:rPr>
                      <w:color w:val="auto"/>
                      <w14:ligatures w14:val="standardContextual"/>
                    </w:rPr>
                  </w:pPr>
                  <w:r>
                    <w:rPr>
                      <w:rFonts w:hint="eastAsia"/>
                      <w:color w:val="auto"/>
                      <w14:ligatures w14:val="standardContextual"/>
                    </w:rPr>
                    <w:t>设备维修</w:t>
                  </w:r>
                </w:p>
              </w:tc>
              <w:tc>
                <w:tcPr>
                  <w:tcW w:w="278" w:type="pct"/>
                  <w:vAlign w:val="center"/>
                </w:tcPr>
                <w:p w14:paraId="7E4EA132">
                  <w:pPr>
                    <w:widowControl w:val="0"/>
                    <w:overflowPunct w:val="0"/>
                    <w:autoSpaceDE w:val="0"/>
                    <w:autoSpaceDN w:val="0"/>
                    <w:snapToGrid w:val="0"/>
                    <w:jc w:val="center"/>
                    <w:rPr>
                      <w:color w:val="auto"/>
                      <w14:ligatures w14:val="standardContextual"/>
                    </w:rPr>
                  </w:pPr>
                  <w:r>
                    <w:rPr>
                      <w:rFonts w:hint="eastAsia"/>
                      <w:color w:val="auto"/>
                      <w14:ligatures w14:val="standardContextual"/>
                    </w:rPr>
                    <w:t>固</w:t>
                  </w:r>
                </w:p>
              </w:tc>
              <w:tc>
                <w:tcPr>
                  <w:tcW w:w="437" w:type="pct"/>
                  <w:vAlign w:val="center"/>
                </w:tcPr>
                <w:p w14:paraId="298AF3F3">
                  <w:pPr>
                    <w:widowControl w:val="0"/>
                    <w:overflowPunct w:val="0"/>
                    <w:autoSpaceDE w:val="0"/>
                    <w:autoSpaceDN w:val="0"/>
                    <w:snapToGrid w:val="0"/>
                    <w:jc w:val="center"/>
                    <w:rPr>
                      <w:color w:val="auto"/>
                      <w14:ligatures w14:val="standardContextual"/>
                    </w:rPr>
                  </w:pPr>
                  <w:r>
                    <w:rPr>
                      <w:color w:val="auto"/>
                      <w14:ligatures w14:val="standardContextual"/>
                    </w:rPr>
                    <w:t>矿物油等</w:t>
                  </w:r>
                </w:p>
              </w:tc>
              <w:tc>
                <w:tcPr>
                  <w:tcW w:w="438" w:type="pct"/>
                  <w:vAlign w:val="center"/>
                </w:tcPr>
                <w:p w14:paraId="52BD839F">
                  <w:pPr>
                    <w:widowControl w:val="0"/>
                    <w:overflowPunct w:val="0"/>
                    <w:autoSpaceDE w:val="0"/>
                    <w:autoSpaceDN w:val="0"/>
                    <w:snapToGrid w:val="0"/>
                    <w:jc w:val="center"/>
                    <w:rPr>
                      <w:color w:val="auto"/>
                      <w14:ligatures w14:val="standardContextual"/>
                    </w:rPr>
                  </w:pPr>
                  <w:r>
                    <w:rPr>
                      <w:rFonts w:hint="eastAsia"/>
                      <w:color w:val="auto"/>
                      <w14:ligatures w14:val="standardContextual"/>
                    </w:rPr>
                    <w:t>一年</w:t>
                  </w:r>
                </w:p>
              </w:tc>
              <w:tc>
                <w:tcPr>
                  <w:tcW w:w="441" w:type="pct"/>
                  <w:vAlign w:val="center"/>
                </w:tcPr>
                <w:p w14:paraId="4B6F5C81">
                  <w:pPr>
                    <w:widowControl w:val="0"/>
                    <w:overflowPunct w:val="0"/>
                    <w:autoSpaceDE w:val="0"/>
                    <w:autoSpaceDN w:val="0"/>
                    <w:snapToGrid w:val="0"/>
                    <w:jc w:val="center"/>
                    <w:rPr>
                      <w:color w:val="auto"/>
                      <w14:ligatures w14:val="standardContextual"/>
                    </w:rPr>
                  </w:pPr>
                  <w:r>
                    <w:rPr>
                      <w:color w:val="auto"/>
                      <w14:ligatures w14:val="standardContextual"/>
                    </w:rPr>
                    <w:t>T</w:t>
                  </w:r>
                  <w:r>
                    <w:rPr>
                      <w:rFonts w:hint="eastAsia"/>
                      <w:color w:val="auto"/>
                      <w14:ligatures w14:val="standardContextual"/>
                    </w:rPr>
                    <w:t>，</w:t>
                  </w:r>
                  <w:r>
                    <w:rPr>
                      <w:color w:val="auto"/>
                      <w14:ligatures w14:val="standardContextual"/>
                    </w:rPr>
                    <w:t>I</w:t>
                  </w:r>
                  <w:r>
                    <w:rPr>
                      <w:rFonts w:hint="eastAsia"/>
                      <w:color w:val="auto"/>
                      <w14:ligatures w14:val="standardContextual"/>
                    </w:rPr>
                    <w:t>n</w:t>
                  </w:r>
                </w:p>
              </w:tc>
              <w:tc>
                <w:tcPr>
                  <w:tcW w:w="688" w:type="pct"/>
                  <w:vMerge w:val="continue"/>
                  <w:vAlign w:val="center"/>
                </w:tcPr>
                <w:p w14:paraId="0A3C905E">
                  <w:pPr>
                    <w:widowControl w:val="0"/>
                    <w:overflowPunct w:val="0"/>
                    <w:autoSpaceDE w:val="0"/>
                    <w:autoSpaceDN w:val="0"/>
                    <w:snapToGrid w:val="0"/>
                    <w:jc w:val="center"/>
                    <w:rPr>
                      <w:color w:val="auto"/>
                      <w14:ligatures w14:val="standardContextual"/>
                    </w:rPr>
                  </w:pPr>
                </w:p>
              </w:tc>
            </w:tr>
          </w:tbl>
          <w:p w14:paraId="09FDDE8A">
            <w:pPr>
              <w:pStyle w:val="49"/>
              <w:rPr>
                <w:color w:val="auto"/>
              </w:rPr>
            </w:pPr>
            <w:r>
              <w:rPr>
                <w:rFonts w:hint="eastAsia"/>
                <w:color w:val="auto"/>
              </w:rPr>
              <w:t xml:space="preserve">表4- </w:t>
            </w:r>
            <w:r>
              <w:rPr>
                <w:color w:val="auto"/>
              </w:rPr>
              <w:t>16</w:t>
            </w:r>
            <w:r>
              <w:rPr>
                <w:rFonts w:hint="eastAsia"/>
                <w:color w:val="auto"/>
              </w:rPr>
              <w:t>：项目危险废物贮存场所基本情况表</w:t>
            </w:r>
          </w:p>
          <w:tbl>
            <w:tblPr>
              <w:tblStyle w:val="50"/>
              <w:tblW w:w="793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849"/>
              <w:gridCol w:w="1303"/>
              <w:gridCol w:w="911"/>
              <w:gridCol w:w="1164"/>
              <w:gridCol w:w="645"/>
              <w:gridCol w:w="659"/>
              <w:gridCol w:w="803"/>
              <w:gridCol w:w="762"/>
              <w:gridCol w:w="842"/>
            </w:tblGrid>
            <w:tr w14:paraId="57CE46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80" w:hRule="atLeast"/>
                <w:jc w:val="center"/>
              </w:trPr>
              <w:tc>
                <w:tcPr>
                  <w:tcW w:w="535" w:type="pct"/>
                  <w:tcBorders>
                    <w:top w:val="single" w:color="auto" w:sz="12" w:space="0"/>
                    <w:left w:val="nil"/>
                    <w:bottom w:val="single" w:color="auto" w:sz="12" w:space="0"/>
                    <w:right w:val="single" w:color="auto" w:sz="4" w:space="0"/>
                    <w:insideH w:val="single" w:sz="12" w:space="0"/>
                    <w:insideV w:val="single" w:sz="4" w:space="0"/>
                    <w:tl2br w:val="nil"/>
                    <w:tr2bl w:val="nil"/>
                  </w:tcBorders>
                  <w:vAlign w:val="center"/>
                </w:tcPr>
                <w:p w14:paraId="0EB47250">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sz w:val="21"/>
                      <w:szCs w:val="21"/>
                      <w14:ligatures w14:val="standardContextual"/>
                    </w:rPr>
                  </w:pPr>
                  <w:r>
                    <w:rPr>
                      <w:rFonts w:hint="eastAsia" w:ascii="Times New Roman" w:hAnsi="Times New Roman" w:eastAsia="宋体" w:cs="Times New Roman"/>
                      <w:b/>
                      <w:i w:val="0"/>
                      <w:color w:val="auto"/>
                      <w:sz w:val="21"/>
                      <w:szCs w:val="21"/>
                      <w14:ligatures w14:val="standardContextual"/>
                    </w:rPr>
                    <w:t>贮存场所名称</w:t>
                  </w:r>
                </w:p>
              </w:tc>
              <w:tc>
                <w:tcPr>
                  <w:tcW w:w="821"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3B922481">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sz w:val="21"/>
                      <w:szCs w:val="21"/>
                      <w14:ligatures w14:val="standardContextual"/>
                    </w:rPr>
                  </w:pPr>
                  <w:r>
                    <w:rPr>
                      <w:rFonts w:hint="eastAsia" w:ascii="Times New Roman" w:hAnsi="Times New Roman" w:eastAsia="宋体" w:cs="Times New Roman"/>
                      <w:b/>
                      <w:i w:val="0"/>
                      <w:color w:val="auto"/>
                      <w:sz w:val="21"/>
                      <w:szCs w:val="21"/>
                      <w14:ligatures w14:val="standardContextual"/>
                    </w:rPr>
                    <w:t>危废名称</w:t>
                  </w:r>
                </w:p>
              </w:tc>
              <w:tc>
                <w:tcPr>
                  <w:tcW w:w="574"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708F409A">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sz w:val="21"/>
                      <w:szCs w:val="21"/>
                      <w14:ligatures w14:val="standardContextual"/>
                    </w:rPr>
                  </w:pPr>
                  <w:r>
                    <w:rPr>
                      <w:rFonts w:hint="eastAsia" w:ascii="Times New Roman" w:hAnsi="Times New Roman" w:eastAsia="宋体" w:cs="Times New Roman"/>
                      <w:b/>
                      <w:i w:val="0"/>
                      <w:color w:val="auto"/>
                      <w:sz w:val="21"/>
                      <w:szCs w:val="21"/>
                      <w14:ligatures w14:val="standardContextual"/>
                    </w:rPr>
                    <w:t>危废类别</w:t>
                  </w:r>
                </w:p>
              </w:tc>
              <w:tc>
                <w:tcPr>
                  <w:tcW w:w="733"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42AE48AF">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sz w:val="21"/>
                      <w:szCs w:val="21"/>
                      <w14:ligatures w14:val="standardContextual"/>
                    </w:rPr>
                  </w:pPr>
                  <w:r>
                    <w:rPr>
                      <w:rFonts w:hint="eastAsia" w:ascii="Times New Roman" w:hAnsi="Times New Roman" w:eastAsia="宋体" w:cs="Times New Roman"/>
                      <w:b/>
                      <w:i w:val="0"/>
                      <w:color w:val="auto"/>
                      <w:sz w:val="21"/>
                      <w:szCs w:val="21"/>
                      <w14:ligatures w14:val="standardContextual"/>
                    </w:rPr>
                    <w:t>危废代码</w:t>
                  </w:r>
                </w:p>
              </w:tc>
              <w:tc>
                <w:tcPr>
                  <w:tcW w:w="406"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33273B6A">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sz w:val="21"/>
                      <w:szCs w:val="21"/>
                      <w14:ligatures w14:val="standardContextual"/>
                    </w:rPr>
                  </w:pPr>
                  <w:r>
                    <w:rPr>
                      <w:rFonts w:hint="eastAsia" w:ascii="Times New Roman" w:hAnsi="Times New Roman" w:eastAsia="宋体" w:cs="Times New Roman"/>
                      <w:b/>
                      <w:i w:val="0"/>
                      <w:color w:val="auto"/>
                      <w:sz w:val="21"/>
                      <w:szCs w:val="21"/>
                      <w14:ligatures w14:val="standardContextual"/>
                    </w:rPr>
                    <w:t>位置</w:t>
                  </w:r>
                </w:p>
              </w:tc>
              <w:tc>
                <w:tcPr>
                  <w:tcW w:w="415"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031F232F">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sz w:val="21"/>
                      <w:szCs w:val="21"/>
                      <w14:ligatures w14:val="standardContextual"/>
                    </w:rPr>
                  </w:pPr>
                  <w:r>
                    <w:rPr>
                      <w:rFonts w:hint="eastAsia" w:ascii="Times New Roman" w:hAnsi="Times New Roman" w:eastAsia="宋体" w:cs="Times New Roman"/>
                      <w:b/>
                      <w:i w:val="0"/>
                      <w:color w:val="auto"/>
                      <w:sz w:val="21"/>
                      <w:szCs w:val="21"/>
                      <w14:ligatures w14:val="standardContextual"/>
                    </w:rPr>
                    <w:t>面积</w:t>
                  </w:r>
                </w:p>
              </w:tc>
              <w:tc>
                <w:tcPr>
                  <w:tcW w:w="506"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5C957519">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sz w:val="21"/>
                      <w:szCs w:val="21"/>
                      <w14:ligatures w14:val="standardContextual"/>
                    </w:rPr>
                  </w:pPr>
                  <w:r>
                    <w:rPr>
                      <w:rFonts w:hint="eastAsia" w:ascii="Times New Roman" w:hAnsi="Times New Roman" w:eastAsia="宋体" w:cs="Times New Roman"/>
                      <w:b/>
                      <w:i w:val="0"/>
                      <w:color w:val="auto"/>
                      <w:sz w:val="21"/>
                      <w:szCs w:val="21"/>
                      <w14:ligatures w14:val="standardContextual"/>
                    </w:rPr>
                    <w:t>贮存方式及要求</w:t>
                  </w:r>
                </w:p>
              </w:tc>
              <w:tc>
                <w:tcPr>
                  <w:tcW w:w="480"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6CBA34AC">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sz w:val="21"/>
                      <w:szCs w:val="21"/>
                      <w14:ligatures w14:val="standardContextual"/>
                    </w:rPr>
                  </w:pPr>
                  <w:r>
                    <w:rPr>
                      <w:rFonts w:hint="eastAsia" w:ascii="Times New Roman" w:hAnsi="Times New Roman" w:eastAsia="宋体" w:cs="Times New Roman"/>
                      <w:b/>
                      <w:i w:val="0"/>
                      <w:color w:val="auto"/>
                      <w:sz w:val="21"/>
                      <w:szCs w:val="21"/>
                      <w14:ligatures w14:val="standardContextual"/>
                    </w:rPr>
                    <w:t>贮存能力</w:t>
                  </w:r>
                </w:p>
              </w:tc>
              <w:tc>
                <w:tcPr>
                  <w:tcW w:w="530" w:type="pct"/>
                  <w:tcBorders>
                    <w:top w:val="single" w:color="auto" w:sz="12" w:space="0"/>
                    <w:bottom w:val="single" w:color="auto" w:sz="12" w:space="0"/>
                    <w:right w:val="nil"/>
                    <w:insideH w:val="single" w:sz="12" w:space="0"/>
                    <w:insideV w:val="single" w:sz="4" w:space="0"/>
                    <w:tl2br w:val="nil"/>
                    <w:tr2bl w:val="nil"/>
                  </w:tcBorders>
                  <w:vAlign w:val="center"/>
                </w:tcPr>
                <w:p w14:paraId="3E838D3E">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sz w:val="21"/>
                      <w:szCs w:val="21"/>
                      <w14:ligatures w14:val="standardContextual"/>
                    </w:rPr>
                  </w:pPr>
                  <w:r>
                    <w:rPr>
                      <w:rFonts w:hint="eastAsia" w:ascii="Times New Roman" w:hAnsi="Times New Roman" w:eastAsia="宋体" w:cs="Times New Roman"/>
                      <w:b/>
                      <w:i w:val="0"/>
                      <w:color w:val="auto"/>
                      <w:sz w:val="21"/>
                      <w:szCs w:val="21"/>
                      <w14:ligatures w14:val="standardContextual"/>
                    </w:rPr>
                    <w:t>贮存周期</w:t>
                  </w:r>
                </w:p>
              </w:tc>
            </w:tr>
            <w:tr w14:paraId="20252B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25" w:hRule="atLeast"/>
                <w:jc w:val="center"/>
              </w:trPr>
              <w:tc>
                <w:tcPr>
                  <w:tcW w:w="535" w:type="pct"/>
                  <w:vAlign w:val="center"/>
                </w:tcPr>
                <w:p w14:paraId="1F76B1C6">
                  <w:pPr>
                    <w:widowControl w:val="0"/>
                    <w:overflowPunct w:val="0"/>
                    <w:autoSpaceDE w:val="0"/>
                    <w:autoSpaceDN w:val="0"/>
                    <w:snapToGrid w:val="0"/>
                    <w:jc w:val="center"/>
                    <w:rPr>
                      <w:color w:val="auto"/>
                      <w14:ligatures w14:val="standardContextual"/>
                    </w:rPr>
                  </w:pPr>
                  <w:r>
                    <w:rPr>
                      <w:rFonts w:hint="eastAsia"/>
                      <w:color w:val="auto"/>
                      <w14:ligatures w14:val="standardContextual"/>
                    </w:rPr>
                    <w:t>危废贮存库</w:t>
                  </w:r>
                </w:p>
              </w:tc>
              <w:tc>
                <w:tcPr>
                  <w:tcW w:w="821" w:type="pct"/>
                  <w:vAlign w:val="center"/>
                </w:tcPr>
                <w:p w14:paraId="278EC522">
                  <w:pPr>
                    <w:widowControl w:val="0"/>
                    <w:overflowPunct w:val="0"/>
                    <w:autoSpaceDE w:val="0"/>
                    <w:autoSpaceDN w:val="0"/>
                    <w:snapToGrid w:val="0"/>
                    <w:jc w:val="center"/>
                    <w:rPr>
                      <w:color w:val="auto"/>
                      <w14:ligatures w14:val="standardContextual"/>
                    </w:rPr>
                  </w:pPr>
                  <w:r>
                    <w:rPr>
                      <w:rFonts w:hint="eastAsia"/>
                      <w:color w:val="auto"/>
                      <w14:ligatures w14:val="standardContextual"/>
                    </w:rPr>
                    <w:t>S5废润滑油及废油桶</w:t>
                  </w:r>
                </w:p>
              </w:tc>
              <w:tc>
                <w:tcPr>
                  <w:tcW w:w="574" w:type="pct"/>
                  <w:vAlign w:val="center"/>
                </w:tcPr>
                <w:p w14:paraId="2B2D78C7">
                  <w:pPr>
                    <w:widowControl w:val="0"/>
                    <w:overflowPunct w:val="0"/>
                    <w:autoSpaceDE w:val="0"/>
                    <w:autoSpaceDN w:val="0"/>
                    <w:snapToGrid w:val="0"/>
                    <w:jc w:val="center"/>
                    <w:rPr>
                      <w:bCs/>
                      <w:color w:val="auto"/>
                      <w14:ligatures w14:val="standardContextual"/>
                    </w:rPr>
                  </w:pPr>
                  <w:r>
                    <w:rPr>
                      <w:color w:val="auto"/>
                      <w14:ligatures w14:val="standardContextual"/>
                    </w:rPr>
                    <w:t>HW08</w:t>
                  </w:r>
                </w:p>
              </w:tc>
              <w:tc>
                <w:tcPr>
                  <w:tcW w:w="733" w:type="pct"/>
                  <w:vAlign w:val="center"/>
                </w:tcPr>
                <w:p w14:paraId="0A7F3274">
                  <w:pPr>
                    <w:widowControl w:val="0"/>
                    <w:overflowPunct w:val="0"/>
                    <w:autoSpaceDE w:val="0"/>
                    <w:autoSpaceDN w:val="0"/>
                    <w:snapToGrid w:val="0"/>
                    <w:jc w:val="center"/>
                    <w:rPr>
                      <w:bCs/>
                      <w:color w:val="auto"/>
                      <w14:ligatures w14:val="standardContextual"/>
                    </w:rPr>
                  </w:pPr>
                  <w:r>
                    <w:rPr>
                      <w:color w:val="auto"/>
                      <w14:ligatures w14:val="standardContextual"/>
                    </w:rPr>
                    <w:t>900-249-08</w:t>
                  </w:r>
                </w:p>
              </w:tc>
              <w:tc>
                <w:tcPr>
                  <w:tcW w:w="406" w:type="pct"/>
                  <w:vMerge w:val="restart"/>
                  <w:vAlign w:val="center"/>
                </w:tcPr>
                <w:p w14:paraId="4CBF3C8B">
                  <w:pPr>
                    <w:widowControl w:val="0"/>
                    <w:overflowPunct w:val="0"/>
                    <w:autoSpaceDE w:val="0"/>
                    <w:autoSpaceDN w:val="0"/>
                    <w:snapToGrid w:val="0"/>
                    <w:jc w:val="center"/>
                    <w:rPr>
                      <w:color w:val="auto"/>
                      <w14:ligatures w14:val="standardContextual"/>
                    </w:rPr>
                  </w:pPr>
                  <w:r>
                    <w:rPr>
                      <w:rFonts w:hint="eastAsia"/>
                      <w:color w:val="auto"/>
                      <w14:ligatures w14:val="standardContextual"/>
                    </w:rPr>
                    <w:t>锅炉房</w:t>
                  </w:r>
                  <w:r>
                    <w:rPr>
                      <w:color w:val="auto"/>
                      <w14:ligatures w14:val="standardContextual"/>
                    </w:rPr>
                    <w:t>1F</w:t>
                  </w:r>
                </w:p>
              </w:tc>
              <w:tc>
                <w:tcPr>
                  <w:tcW w:w="415" w:type="pct"/>
                  <w:vMerge w:val="restart"/>
                  <w:vAlign w:val="center"/>
                </w:tcPr>
                <w:p w14:paraId="5F82875F">
                  <w:pPr>
                    <w:widowControl w:val="0"/>
                    <w:overflowPunct w:val="0"/>
                    <w:autoSpaceDE w:val="0"/>
                    <w:autoSpaceDN w:val="0"/>
                    <w:snapToGrid w:val="0"/>
                    <w:jc w:val="center"/>
                    <w:rPr>
                      <w:color w:val="auto"/>
                      <w14:ligatures w14:val="standardContextual"/>
                    </w:rPr>
                  </w:pPr>
                  <w:r>
                    <w:rPr>
                      <w:rFonts w:hint="eastAsia"/>
                      <w:color w:val="auto"/>
                      <w14:ligatures w14:val="standardContextual"/>
                    </w:rPr>
                    <w:t>5</w:t>
                  </w:r>
                  <w:r>
                    <w:rPr>
                      <w:color w:val="auto"/>
                      <w14:ligatures w14:val="standardContextual"/>
                    </w:rPr>
                    <w:t>m</w:t>
                  </w:r>
                  <w:r>
                    <w:rPr>
                      <w:color w:val="auto"/>
                      <w:vertAlign w:val="superscript"/>
                      <w14:ligatures w14:val="standardContextual"/>
                    </w:rPr>
                    <w:t>2</w:t>
                  </w:r>
                </w:p>
              </w:tc>
              <w:tc>
                <w:tcPr>
                  <w:tcW w:w="506" w:type="pct"/>
                  <w:vAlign w:val="center"/>
                </w:tcPr>
                <w:p w14:paraId="2D90306A">
                  <w:pPr>
                    <w:widowControl w:val="0"/>
                    <w:overflowPunct w:val="0"/>
                    <w:autoSpaceDE w:val="0"/>
                    <w:autoSpaceDN w:val="0"/>
                    <w:snapToGrid w:val="0"/>
                    <w:jc w:val="center"/>
                    <w:rPr>
                      <w:color w:val="auto"/>
                      <w14:ligatures w14:val="standardContextual"/>
                    </w:rPr>
                  </w:pPr>
                  <w:r>
                    <w:rPr>
                      <w:rFonts w:hint="eastAsia"/>
                      <w:color w:val="auto"/>
                      <w14:ligatures w14:val="standardContextual"/>
                    </w:rPr>
                    <w:t>桶装</w:t>
                  </w:r>
                </w:p>
              </w:tc>
              <w:tc>
                <w:tcPr>
                  <w:tcW w:w="480" w:type="pct"/>
                  <w:vMerge w:val="restart"/>
                  <w:vAlign w:val="center"/>
                </w:tcPr>
                <w:p w14:paraId="0F9E1160">
                  <w:pPr>
                    <w:widowControl w:val="0"/>
                    <w:overflowPunct w:val="0"/>
                    <w:autoSpaceDE w:val="0"/>
                    <w:autoSpaceDN w:val="0"/>
                    <w:snapToGrid w:val="0"/>
                    <w:jc w:val="center"/>
                    <w:rPr>
                      <w:color w:val="auto"/>
                      <w14:ligatures w14:val="standardContextual"/>
                    </w:rPr>
                  </w:pPr>
                  <w:r>
                    <w:rPr>
                      <w:rFonts w:hint="eastAsia"/>
                      <w:color w:val="auto"/>
                      <w14:ligatures w14:val="standardContextual"/>
                    </w:rPr>
                    <w:t>1</w:t>
                  </w:r>
                  <w:r>
                    <w:rPr>
                      <w:color w:val="auto"/>
                      <w14:ligatures w14:val="standardContextual"/>
                    </w:rPr>
                    <w:t>t</w:t>
                  </w:r>
                </w:p>
              </w:tc>
              <w:tc>
                <w:tcPr>
                  <w:tcW w:w="530" w:type="pct"/>
                  <w:vMerge w:val="restart"/>
                  <w:vAlign w:val="center"/>
                </w:tcPr>
                <w:p w14:paraId="3E0D5290">
                  <w:pPr>
                    <w:widowControl w:val="0"/>
                    <w:overflowPunct w:val="0"/>
                    <w:autoSpaceDE w:val="0"/>
                    <w:autoSpaceDN w:val="0"/>
                    <w:snapToGrid w:val="0"/>
                    <w:jc w:val="center"/>
                    <w:rPr>
                      <w:color w:val="auto"/>
                      <w14:ligatures w14:val="standardContextual"/>
                    </w:rPr>
                  </w:pPr>
                  <w:r>
                    <w:rPr>
                      <w:rFonts w:hint="eastAsia"/>
                      <w:color w:val="auto"/>
                      <w14:ligatures w14:val="standardContextual"/>
                    </w:rPr>
                    <w:t>一年</w:t>
                  </w:r>
                </w:p>
              </w:tc>
            </w:tr>
            <w:tr w14:paraId="786025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25" w:hRule="atLeast"/>
                <w:jc w:val="center"/>
              </w:trPr>
              <w:tc>
                <w:tcPr>
                  <w:tcW w:w="535" w:type="pct"/>
                  <w:vAlign w:val="center"/>
                </w:tcPr>
                <w:p w14:paraId="0E6C027D">
                  <w:pPr>
                    <w:widowControl w:val="0"/>
                    <w:overflowPunct w:val="0"/>
                    <w:autoSpaceDE w:val="0"/>
                    <w:autoSpaceDN w:val="0"/>
                    <w:snapToGrid w:val="0"/>
                    <w:jc w:val="center"/>
                    <w:rPr>
                      <w:color w:val="auto"/>
                      <w14:ligatures w14:val="standardContextual"/>
                    </w:rPr>
                  </w:pPr>
                </w:p>
              </w:tc>
              <w:tc>
                <w:tcPr>
                  <w:tcW w:w="821" w:type="pct"/>
                  <w:vAlign w:val="center"/>
                </w:tcPr>
                <w:p w14:paraId="60A82AFB">
                  <w:pPr>
                    <w:widowControl w:val="0"/>
                    <w:overflowPunct w:val="0"/>
                    <w:autoSpaceDE w:val="0"/>
                    <w:autoSpaceDN w:val="0"/>
                    <w:snapToGrid w:val="0"/>
                    <w:jc w:val="center"/>
                    <w:rPr>
                      <w:color w:val="auto"/>
                      <w14:ligatures w14:val="standardContextual"/>
                    </w:rPr>
                  </w:pPr>
                  <w:r>
                    <w:rPr>
                      <w:rFonts w:hint="eastAsia"/>
                      <w:color w:val="auto"/>
                      <w14:ligatures w14:val="standardContextual"/>
                    </w:rPr>
                    <w:t>S6</w:t>
                  </w:r>
                  <w:r>
                    <w:rPr>
                      <w:rFonts w:hint="eastAsia" w:ascii="宋体" w:hAnsi="宋体" w:cs="宋体"/>
                      <w:color w:val="auto"/>
                      <w14:ligatures w14:val="standardContextual"/>
                    </w:rPr>
                    <w:t>废含油抹布</w:t>
                  </w:r>
                </w:p>
              </w:tc>
              <w:tc>
                <w:tcPr>
                  <w:tcW w:w="574" w:type="pct"/>
                  <w:vAlign w:val="center"/>
                </w:tcPr>
                <w:p w14:paraId="2E85DA84">
                  <w:pPr>
                    <w:widowControl w:val="0"/>
                    <w:overflowPunct w:val="0"/>
                    <w:autoSpaceDE w:val="0"/>
                    <w:autoSpaceDN w:val="0"/>
                    <w:snapToGrid w:val="0"/>
                    <w:jc w:val="center"/>
                    <w:rPr>
                      <w:color w:val="auto"/>
                      <w14:ligatures w14:val="standardContextual"/>
                    </w:rPr>
                  </w:pPr>
                  <w:r>
                    <w:rPr>
                      <w:color w:val="auto"/>
                      <w14:ligatures w14:val="standardContextual"/>
                    </w:rPr>
                    <w:t>HW0</w:t>
                  </w:r>
                  <w:r>
                    <w:rPr>
                      <w:rFonts w:hint="eastAsia"/>
                      <w:color w:val="auto"/>
                      <w14:ligatures w14:val="standardContextual"/>
                    </w:rPr>
                    <w:t>9</w:t>
                  </w:r>
                </w:p>
              </w:tc>
              <w:tc>
                <w:tcPr>
                  <w:tcW w:w="733" w:type="pct"/>
                  <w:vAlign w:val="center"/>
                </w:tcPr>
                <w:p w14:paraId="601CD30B">
                  <w:pPr>
                    <w:widowControl w:val="0"/>
                    <w:overflowPunct w:val="0"/>
                    <w:autoSpaceDE w:val="0"/>
                    <w:autoSpaceDN w:val="0"/>
                    <w:snapToGrid w:val="0"/>
                    <w:jc w:val="center"/>
                    <w:rPr>
                      <w:color w:val="auto"/>
                      <w14:ligatures w14:val="standardContextual"/>
                    </w:rPr>
                  </w:pPr>
                  <w:r>
                    <w:rPr>
                      <w:color w:val="auto"/>
                      <w14:ligatures w14:val="standardContextual"/>
                    </w:rPr>
                    <w:t>900-041-49</w:t>
                  </w:r>
                </w:p>
              </w:tc>
              <w:tc>
                <w:tcPr>
                  <w:tcW w:w="406" w:type="pct"/>
                  <w:vMerge w:val="continue"/>
                  <w:vAlign w:val="center"/>
                </w:tcPr>
                <w:p w14:paraId="4CD925B6">
                  <w:pPr>
                    <w:widowControl w:val="0"/>
                    <w:overflowPunct w:val="0"/>
                    <w:autoSpaceDE w:val="0"/>
                    <w:autoSpaceDN w:val="0"/>
                    <w:snapToGrid w:val="0"/>
                    <w:jc w:val="center"/>
                    <w:rPr>
                      <w:color w:val="auto"/>
                      <w14:ligatures w14:val="standardContextual"/>
                    </w:rPr>
                  </w:pPr>
                </w:p>
              </w:tc>
              <w:tc>
                <w:tcPr>
                  <w:tcW w:w="415" w:type="pct"/>
                  <w:vMerge w:val="continue"/>
                  <w:vAlign w:val="center"/>
                </w:tcPr>
                <w:p w14:paraId="4188935B">
                  <w:pPr>
                    <w:widowControl w:val="0"/>
                    <w:overflowPunct w:val="0"/>
                    <w:autoSpaceDE w:val="0"/>
                    <w:autoSpaceDN w:val="0"/>
                    <w:snapToGrid w:val="0"/>
                    <w:jc w:val="center"/>
                    <w:rPr>
                      <w:color w:val="auto"/>
                      <w14:ligatures w14:val="standardContextual"/>
                    </w:rPr>
                  </w:pPr>
                </w:p>
              </w:tc>
              <w:tc>
                <w:tcPr>
                  <w:tcW w:w="506" w:type="pct"/>
                  <w:vAlign w:val="center"/>
                </w:tcPr>
                <w:p w14:paraId="2F89D48A">
                  <w:pPr>
                    <w:widowControl w:val="0"/>
                    <w:overflowPunct w:val="0"/>
                    <w:autoSpaceDE w:val="0"/>
                    <w:autoSpaceDN w:val="0"/>
                    <w:snapToGrid w:val="0"/>
                    <w:jc w:val="center"/>
                    <w:rPr>
                      <w:color w:val="auto"/>
                      <w14:ligatures w14:val="standardContextual"/>
                    </w:rPr>
                  </w:pPr>
                  <w:r>
                    <w:rPr>
                      <w:rFonts w:hint="eastAsia"/>
                      <w:color w:val="auto"/>
                      <w14:ligatures w14:val="standardContextual"/>
                    </w:rPr>
                    <w:t>袋装</w:t>
                  </w:r>
                </w:p>
              </w:tc>
              <w:tc>
                <w:tcPr>
                  <w:tcW w:w="480" w:type="pct"/>
                  <w:vMerge w:val="continue"/>
                  <w:vAlign w:val="center"/>
                </w:tcPr>
                <w:p w14:paraId="55AB7ABD">
                  <w:pPr>
                    <w:widowControl w:val="0"/>
                    <w:overflowPunct w:val="0"/>
                    <w:autoSpaceDE w:val="0"/>
                    <w:autoSpaceDN w:val="0"/>
                    <w:snapToGrid w:val="0"/>
                    <w:jc w:val="center"/>
                    <w:rPr>
                      <w:color w:val="auto"/>
                      <w14:ligatures w14:val="standardContextual"/>
                    </w:rPr>
                  </w:pPr>
                </w:p>
              </w:tc>
              <w:tc>
                <w:tcPr>
                  <w:tcW w:w="530" w:type="pct"/>
                  <w:vMerge w:val="continue"/>
                  <w:vAlign w:val="center"/>
                </w:tcPr>
                <w:p w14:paraId="2E907EE0">
                  <w:pPr>
                    <w:widowControl w:val="0"/>
                    <w:overflowPunct w:val="0"/>
                    <w:autoSpaceDE w:val="0"/>
                    <w:autoSpaceDN w:val="0"/>
                    <w:snapToGrid w:val="0"/>
                    <w:jc w:val="center"/>
                    <w:rPr>
                      <w:color w:val="auto"/>
                      <w14:ligatures w14:val="standardContextual"/>
                    </w:rPr>
                  </w:pPr>
                </w:p>
              </w:tc>
            </w:tr>
          </w:tbl>
          <w:p w14:paraId="609BF2A9">
            <w:pPr>
              <w:pStyle w:val="3"/>
              <w:ind w:firstLine="482"/>
              <w:rPr>
                <w:b/>
                <w:bCs/>
                <w:color w:val="auto"/>
              </w:rPr>
            </w:pPr>
            <w:r>
              <w:rPr>
                <w:rFonts w:hint="eastAsia"/>
                <w:b/>
                <w:bCs/>
                <w:color w:val="auto"/>
              </w:rPr>
              <w:t>3、固废环境管理要求</w:t>
            </w:r>
          </w:p>
          <w:p w14:paraId="5515DF0D">
            <w:pPr>
              <w:pStyle w:val="3"/>
              <w:ind w:firstLine="480"/>
              <w:rPr>
                <w:color w:val="auto"/>
              </w:rPr>
            </w:pPr>
            <w:r>
              <w:rPr>
                <w:rFonts w:hint="eastAsia"/>
                <w:color w:val="auto"/>
              </w:rPr>
              <w:t>一般工业固废场所的建设应满足相应防渗漏、防雨淋、防扬尘等环境保护相关要求。具体为：贮存区采取防风防雨措施、严禁露天堆放；各类固废应分类收集；贮存区按照《环境保护图形标志——固体废物贮存（处置）场》(GB15562.2)的要求设置环保图形标志；指定专人进行日常管理。</w:t>
            </w:r>
          </w:p>
          <w:p w14:paraId="3DCE1D20">
            <w:pPr>
              <w:pStyle w:val="3"/>
              <w:ind w:firstLine="480"/>
              <w:rPr>
                <w:color w:val="auto"/>
              </w:rPr>
            </w:pPr>
            <w:r>
              <w:rPr>
                <w:rFonts w:hint="eastAsia"/>
                <w:color w:val="auto"/>
              </w:rPr>
              <w:t>根据《国家危险废物名录》规定，本项目产生的危险废物，应按要求交由有资质单位处理。交由有资质单位处理前，危险废物的存储应单独设置一处危废贮存库，暂存间面积为</w:t>
            </w:r>
            <w:r>
              <w:rPr>
                <w:color w:val="auto"/>
              </w:rPr>
              <w:t>20m</w:t>
            </w:r>
            <w:r>
              <w:rPr>
                <w:color w:val="auto"/>
                <w:vertAlign w:val="superscript"/>
              </w:rPr>
              <w:t>2</w:t>
            </w:r>
            <w:r>
              <w:rPr>
                <w:rFonts w:hint="eastAsia"/>
                <w:color w:val="auto"/>
              </w:rPr>
              <w:t>，定期转运。</w:t>
            </w:r>
          </w:p>
          <w:p w14:paraId="2740349C">
            <w:pPr>
              <w:pStyle w:val="3"/>
              <w:ind w:firstLine="480"/>
              <w:rPr>
                <w:color w:val="auto"/>
              </w:rPr>
            </w:pPr>
            <w:r>
              <w:rPr>
                <w:rFonts w:hint="eastAsia"/>
                <w:color w:val="auto"/>
              </w:rPr>
              <w:t>危废贮存库严格按照《危险废物贮存污染控制标准》（</w:t>
            </w:r>
            <w:r>
              <w:rPr>
                <w:color w:val="auto"/>
              </w:rPr>
              <w:t>GB18597-2023</w:t>
            </w:r>
            <w:r>
              <w:rPr>
                <w:rFonts w:hint="eastAsia"/>
                <w:color w:val="auto"/>
              </w:rPr>
              <w:t>）的有关要求建设，主要包括但不限于：</w:t>
            </w:r>
          </w:p>
          <w:p w14:paraId="652F124C">
            <w:pPr>
              <w:pStyle w:val="3"/>
              <w:ind w:firstLine="480"/>
              <w:rPr>
                <w:color w:val="auto"/>
              </w:rPr>
            </w:pPr>
            <w:r>
              <w:rPr>
                <w:rFonts w:hint="eastAsia"/>
                <w:color w:val="auto"/>
              </w:rPr>
              <w:t>（</w:t>
            </w:r>
            <w:r>
              <w:rPr>
                <w:color w:val="auto"/>
              </w:rPr>
              <w:t>1</w:t>
            </w:r>
            <w:r>
              <w:rPr>
                <w:rFonts w:hint="eastAsia"/>
                <w:color w:val="auto"/>
              </w:rPr>
              <w:t>）贮存设施污染控制要求</w:t>
            </w:r>
          </w:p>
          <w:p w14:paraId="59DDCE57">
            <w:pPr>
              <w:pStyle w:val="3"/>
              <w:ind w:firstLine="480"/>
              <w:rPr>
                <w:color w:val="auto"/>
              </w:rPr>
            </w:pPr>
            <w:r>
              <w:rPr>
                <w:color w:val="auto"/>
              </w:rPr>
              <w:t>1</w:t>
            </w:r>
            <w:r>
              <w:rPr>
                <w:rFonts w:hint="eastAsia"/>
                <w:color w:val="auto"/>
              </w:rPr>
              <w:t>）一般规定</w:t>
            </w:r>
          </w:p>
          <w:p w14:paraId="2D41CC8D">
            <w:pPr>
              <w:pStyle w:val="3"/>
              <w:ind w:firstLine="480"/>
              <w:rPr>
                <w:color w:val="auto"/>
              </w:rPr>
            </w:pPr>
            <w:r>
              <w:rPr>
                <w:rFonts w:hint="eastAsia"/>
                <w:color w:val="auto"/>
              </w:rPr>
              <w:t>①贮存设施应根据危险废物的形态、物理化学性质、包装形式和污染物迁移途径，采取必要的防风、防晒、防雨、防漏、防渗、防腐以及其他环境污染防治措施，不应露天堆放危险废物。</w:t>
            </w:r>
          </w:p>
          <w:p w14:paraId="50511B1B">
            <w:pPr>
              <w:pStyle w:val="3"/>
              <w:ind w:firstLine="480"/>
              <w:rPr>
                <w:color w:val="auto"/>
              </w:rPr>
            </w:pPr>
            <w:r>
              <w:rPr>
                <w:rFonts w:hint="eastAsia"/>
                <w:color w:val="auto"/>
              </w:rPr>
              <w:t>②贮存设施应根据危险废物的类别、数量、形态、物理化学性质和污染防治等要求设置必要的贮存分区，避免不相容的危险废物接触、混合。</w:t>
            </w:r>
          </w:p>
          <w:p w14:paraId="5289CB80">
            <w:pPr>
              <w:pStyle w:val="3"/>
              <w:ind w:firstLine="480"/>
              <w:rPr>
                <w:color w:val="auto"/>
              </w:rPr>
            </w:pPr>
            <w:r>
              <w:rPr>
                <w:rFonts w:hint="eastAsia"/>
                <w:color w:val="auto"/>
              </w:rPr>
              <w:t>③贮存设施或贮存分区内地面、墙面裙脚、堵截泄漏的围堰、接触危险废物的隔板和墙体等应采用坚固的材料建造，表面无裂缝。</w:t>
            </w:r>
          </w:p>
          <w:p w14:paraId="0B50CE89">
            <w:pPr>
              <w:pStyle w:val="3"/>
              <w:ind w:firstLine="480"/>
              <w:rPr>
                <w:color w:val="auto"/>
              </w:rPr>
            </w:pPr>
            <w:r>
              <w:rPr>
                <w:rFonts w:hint="eastAsia"/>
                <w:color w:val="auto"/>
              </w:rPr>
              <w:t>④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w:t>
            </w:r>
            <w:r>
              <w:rPr>
                <w:color w:val="auto"/>
              </w:rPr>
              <w:t>1m</w:t>
            </w:r>
            <w:r>
              <w:rPr>
                <w:rFonts w:hint="eastAsia"/>
                <w:color w:val="auto"/>
              </w:rPr>
              <w:t>厚黏土层（渗透系数不大于</w:t>
            </w:r>
            <w:r>
              <w:rPr>
                <w:color w:val="auto"/>
              </w:rPr>
              <w:t>10</w:t>
            </w:r>
            <w:r>
              <w:rPr>
                <w:color w:val="auto"/>
                <w:vertAlign w:val="superscript"/>
              </w:rPr>
              <w:t>-7</w:t>
            </w:r>
            <w:r>
              <w:rPr>
                <w:color w:val="auto"/>
              </w:rPr>
              <w:t>cm/s</w:t>
            </w:r>
            <w:r>
              <w:rPr>
                <w:rFonts w:hint="eastAsia"/>
                <w:color w:val="auto"/>
              </w:rPr>
              <w:t>），或至少</w:t>
            </w:r>
            <w:r>
              <w:rPr>
                <w:color w:val="auto"/>
              </w:rPr>
              <w:t>2mm</w:t>
            </w:r>
            <w:r>
              <w:rPr>
                <w:rFonts w:hint="eastAsia"/>
                <w:color w:val="auto"/>
              </w:rPr>
              <w:t>厚高密度聚乙烯膜等人工防渗材料（渗透系数不大于</w:t>
            </w:r>
            <w:r>
              <w:rPr>
                <w:color w:val="auto"/>
              </w:rPr>
              <w:t>10</w:t>
            </w:r>
            <w:r>
              <w:rPr>
                <w:color w:val="auto"/>
                <w:vertAlign w:val="superscript"/>
              </w:rPr>
              <w:t>-10</w:t>
            </w:r>
            <w:r>
              <w:rPr>
                <w:color w:val="auto"/>
              </w:rPr>
              <w:t>cm/s</w:t>
            </w:r>
            <w:r>
              <w:rPr>
                <w:rFonts w:hint="eastAsia"/>
                <w:color w:val="auto"/>
              </w:rPr>
              <w:t>），或其他防渗性能等效的材料。</w:t>
            </w:r>
          </w:p>
          <w:p w14:paraId="361019DD">
            <w:pPr>
              <w:pStyle w:val="3"/>
              <w:ind w:firstLine="480"/>
              <w:rPr>
                <w:color w:val="auto"/>
              </w:rPr>
            </w:pPr>
            <w:r>
              <w:rPr>
                <w:rFonts w:hint="eastAsia"/>
                <w:color w:val="auto"/>
              </w:rPr>
              <w:t>⑤同一贮存设施宜采用相同的防渗、防腐工艺（包括防渗、防腐结构或材料），防渗、防腐材料应覆盖所有可能与废物及其渗滤液、渗漏液等接触的构筑物表面；采用不同防渗、防腐工艺应分别建设贮存分区。</w:t>
            </w:r>
          </w:p>
          <w:p w14:paraId="22BD00B0">
            <w:pPr>
              <w:pStyle w:val="3"/>
              <w:ind w:firstLine="480"/>
              <w:rPr>
                <w:color w:val="auto"/>
              </w:rPr>
            </w:pPr>
            <w:r>
              <w:rPr>
                <w:rFonts w:hint="eastAsia"/>
                <w:color w:val="auto"/>
              </w:rPr>
              <w:t>⑥贮存设施应采取技术和管理措施防止无关人员进入。</w:t>
            </w:r>
          </w:p>
          <w:p w14:paraId="47D02BC4">
            <w:pPr>
              <w:pStyle w:val="3"/>
              <w:ind w:firstLine="480"/>
              <w:rPr>
                <w:color w:val="auto"/>
              </w:rPr>
            </w:pPr>
            <w:r>
              <w:rPr>
                <w:color w:val="auto"/>
              </w:rPr>
              <w:t>2</w:t>
            </w:r>
            <w:r>
              <w:rPr>
                <w:rFonts w:hint="eastAsia"/>
                <w:color w:val="auto"/>
              </w:rPr>
              <w:t>）贮存库</w:t>
            </w:r>
          </w:p>
          <w:p w14:paraId="182BD127">
            <w:pPr>
              <w:pStyle w:val="3"/>
              <w:ind w:firstLine="480"/>
              <w:rPr>
                <w:color w:val="auto"/>
              </w:rPr>
            </w:pPr>
            <w:r>
              <w:rPr>
                <w:rFonts w:hint="eastAsia"/>
                <w:color w:val="auto"/>
              </w:rPr>
              <w:t>①贮存库内不同贮存分区之间应采取隔离措施。隔离措施可根据危险废物特性采用过道、隔板或隔墙等方式。</w:t>
            </w:r>
          </w:p>
          <w:p w14:paraId="64037B90">
            <w:pPr>
              <w:pStyle w:val="3"/>
              <w:ind w:firstLine="480"/>
              <w:rPr>
                <w:color w:val="auto"/>
              </w:rPr>
            </w:pPr>
            <w:r>
              <w:rPr>
                <w:rFonts w:hint="eastAsia"/>
                <w:color w:val="auto"/>
              </w:rPr>
              <w:t>②在贮存库内或通过贮存分区方式贮存液态危险废物的，应具有</w:t>
            </w:r>
            <w:r>
              <w:rPr>
                <w:rFonts w:hint="eastAsia"/>
                <w:b/>
                <w:bCs/>
                <w:color w:val="auto"/>
              </w:rPr>
              <w:t>液体泄漏堵截设施</w:t>
            </w:r>
            <w:r>
              <w:rPr>
                <w:rFonts w:hint="eastAsia"/>
                <w:color w:val="auto"/>
              </w:rPr>
              <w:t>，堵截设施最小容积不应低于对应贮存区域最大液态废物容器容积或液态废物总储量</w:t>
            </w:r>
            <w:r>
              <w:rPr>
                <w:color w:val="auto"/>
              </w:rPr>
              <w:t>1/10</w:t>
            </w:r>
            <w:r>
              <w:rPr>
                <w:rFonts w:hint="eastAsia"/>
                <w:color w:val="auto"/>
              </w:rPr>
              <w:t>（二者取较大者）；用于贮存可能产生渗滤液的危险废物的贮存库或贮存分区应设计</w:t>
            </w:r>
            <w:r>
              <w:rPr>
                <w:rFonts w:hint="eastAsia"/>
                <w:b/>
                <w:bCs/>
                <w:color w:val="auto"/>
              </w:rPr>
              <w:t>渗滤液收集设施</w:t>
            </w:r>
            <w:r>
              <w:rPr>
                <w:rFonts w:hint="eastAsia"/>
                <w:color w:val="auto"/>
              </w:rPr>
              <w:t>，收集设施容积应满足渗滤液的收集要求。</w:t>
            </w:r>
          </w:p>
          <w:p w14:paraId="74A83E91">
            <w:pPr>
              <w:pStyle w:val="3"/>
              <w:ind w:firstLine="480"/>
              <w:rPr>
                <w:color w:val="auto"/>
              </w:rPr>
            </w:pPr>
            <w:r>
              <w:rPr>
                <w:rFonts w:hint="eastAsia"/>
                <w:color w:val="auto"/>
              </w:rPr>
              <w:t>③贮存易产生粉尘、</w:t>
            </w:r>
            <w:r>
              <w:rPr>
                <w:color w:val="auto"/>
              </w:rPr>
              <w:t>VOCs</w:t>
            </w:r>
            <w:r>
              <w:rPr>
                <w:rFonts w:hint="eastAsia"/>
                <w:color w:val="auto"/>
              </w:rPr>
              <w:t>、酸雾、有毒有害大气污染物和刺激性气味气体的危废贮存库，应设置</w:t>
            </w:r>
            <w:r>
              <w:rPr>
                <w:rFonts w:hint="eastAsia"/>
                <w:b/>
                <w:bCs/>
                <w:color w:val="auto"/>
              </w:rPr>
              <w:t>气体收集装置和气体净化设施</w:t>
            </w:r>
            <w:r>
              <w:rPr>
                <w:rFonts w:hint="eastAsia"/>
                <w:color w:val="auto"/>
              </w:rPr>
              <w:t>；气体净化设施的排气筒高度应符合</w:t>
            </w:r>
            <w:r>
              <w:rPr>
                <w:color w:val="auto"/>
              </w:rPr>
              <w:t>GB16297</w:t>
            </w:r>
            <w:r>
              <w:rPr>
                <w:rFonts w:hint="eastAsia"/>
                <w:color w:val="auto"/>
              </w:rPr>
              <w:t>要求。</w:t>
            </w:r>
          </w:p>
          <w:p w14:paraId="75753928">
            <w:pPr>
              <w:pStyle w:val="3"/>
              <w:ind w:firstLine="480"/>
              <w:rPr>
                <w:color w:val="auto"/>
              </w:rPr>
            </w:pPr>
            <w:r>
              <w:rPr>
                <w:rFonts w:hint="eastAsia"/>
                <w:color w:val="auto"/>
              </w:rPr>
              <w:t>（</w:t>
            </w:r>
            <w:r>
              <w:rPr>
                <w:color w:val="auto"/>
              </w:rPr>
              <w:t>2</w:t>
            </w:r>
            <w:r>
              <w:rPr>
                <w:rFonts w:hint="eastAsia"/>
                <w:color w:val="auto"/>
              </w:rPr>
              <w:t>）容器和包装物污染控制要求</w:t>
            </w:r>
          </w:p>
          <w:p w14:paraId="2D1EB6BB">
            <w:pPr>
              <w:pStyle w:val="3"/>
              <w:ind w:firstLine="480"/>
              <w:rPr>
                <w:color w:val="auto"/>
              </w:rPr>
            </w:pPr>
            <w:r>
              <w:rPr>
                <w:rFonts w:hint="eastAsia"/>
                <w:color w:val="auto"/>
              </w:rPr>
              <w:t>①容器和包装物材质、内衬应与盛装的危险废物相容。</w:t>
            </w:r>
          </w:p>
          <w:p w14:paraId="0E54FFE0">
            <w:pPr>
              <w:pStyle w:val="3"/>
              <w:ind w:firstLine="480"/>
              <w:rPr>
                <w:color w:val="auto"/>
              </w:rPr>
            </w:pPr>
            <w:r>
              <w:rPr>
                <w:rFonts w:hint="eastAsia"/>
                <w:color w:val="auto"/>
              </w:rPr>
              <w:t>②针对不同类别、形态、物理化学性质的危险废物，其容器和包装物应满足相应的防渗、防漏、防腐和强度等要求。</w:t>
            </w:r>
          </w:p>
          <w:p w14:paraId="6DE8E2FA">
            <w:pPr>
              <w:pStyle w:val="3"/>
              <w:ind w:firstLine="480"/>
              <w:rPr>
                <w:color w:val="auto"/>
              </w:rPr>
            </w:pPr>
            <w:r>
              <w:rPr>
                <w:rFonts w:hint="eastAsia"/>
                <w:color w:val="auto"/>
              </w:rPr>
              <w:t>③硬质容器和包装物及其支护结构堆叠码放时不应有明显变形，无破损泄漏。</w:t>
            </w:r>
          </w:p>
          <w:p w14:paraId="1A589047">
            <w:pPr>
              <w:pStyle w:val="3"/>
              <w:ind w:firstLine="480"/>
              <w:rPr>
                <w:color w:val="auto"/>
              </w:rPr>
            </w:pPr>
            <w:r>
              <w:rPr>
                <w:rFonts w:hint="eastAsia"/>
                <w:color w:val="auto"/>
              </w:rPr>
              <w:t>④柔性容器和包装物堆叠码放时应封口严密，无破损泄漏。</w:t>
            </w:r>
          </w:p>
          <w:p w14:paraId="52A3A638">
            <w:pPr>
              <w:pStyle w:val="3"/>
              <w:ind w:firstLine="480"/>
              <w:rPr>
                <w:color w:val="auto"/>
              </w:rPr>
            </w:pPr>
            <w:r>
              <w:rPr>
                <w:rFonts w:hint="eastAsia"/>
                <w:color w:val="auto"/>
              </w:rPr>
              <w:t>⑤使用容器盛装液态、半固态危险废物时，容器内部应留有适当的空间，以适应因温度变化等可能引发的收缩和膨胀，防止其导致容器渗漏或永久变形。</w:t>
            </w:r>
          </w:p>
          <w:p w14:paraId="6B2C958C">
            <w:pPr>
              <w:pStyle w:val="3"/>
              <w:ind w:firstLine="480"/>
              <w:rPr>
                <w:color w:val="auto"/>
              </w:rPr>
            </w:pPr>
            <w:r>
              <w:rPr>
                <w:rFonts w:hint="eastAsia"/>
                <w:color w:val="auto"/>
              </w:rPr>
              <w:t>⑥容器和包装物外表面应保持清洁。</w:t>
            </w:r>
          </w:p>
          <w:p w14:paraId="28720895">
            <w:pPr>
              <w:pStyle w:val="3"/>
              <w:ind w:firstLine="480"/>
              <w:rPr>
                <w:color w:val="auto"/>
              </w:rPr>
            </w:pPr>
            <w:r>
              <w:rPr>
                <w:rFonts w:hint="eastAsia"/>
                <w:color w:val="auto"/>
              </w:rPr>
              <w:t>（</w:t>
            </w:r>
            <w:r>
              <w:rPr>
                <w:color w:val="auto"/>
              </w:rPr>
              <w:t>3</w:t>
            </w:r>
            <w:r>
              <w:rPr>
                <w:rFonts w:hint="eastAsia"/>
                <w:color w:val="auto"/>
              </w:rPr>
              <w:t>）贮存过程污染控制要求</w:t>
            </w:r>
          </w:p>
          <w:p w14:paraId="39C0052F">
            <w:pPr>
              <w:pStyle w:val="3"/>
              <w:ind w:firstLine="480"/>
              <w:rPr>
                <w:color w:val="auto"/>
              </w:rPr>
            </w:pPr>
            <w:r>
              <w:rPr>
                <w:color w:val="auto"/>
              </w:rPr>
              <w:t>1</w:t>
            </w:r>
            <w:r>
              <w:rPr>
                <w:rFonts w:hint="eastAsia"/>
                <w:color w:val="auto"/>
              </w:rPr>
              <w:t>）一般规定</w:t>
            </w:r>
          </w:p>
          <w:p w14:paraId="1693B9BD">
            <w:pPr>
              <w:pStyle w:val="3"/>
              <w:ind w:firstLine="480"/>
              <w:rPr>
                <w:color w:val="auto"/>
              </w:rPr>
            </w:pPr>
            <w:r>
              <w:rPr>
                <w:rFonts w:hint="eastAsia"/>
                <w:color w:val="auto"/>
              </w:rPr>
              <w:t>①在常温常压下不易水解、不易挥发的固态危险废物可分类堆放贮存，其他固态危险废物应装入容器或包装物内贮存。</w:t>
            </w:r>
          </w:p>
          <w:p w14:paraId="3C493D16">
            <w:pPr>
              <w:pStyle w:val="3"/>
              <w:ind w:firstLine="480"/>
              <w:rPr>
                <w:color w:val="auto"/>
              </w:rPr>
            </w:pPr>
            <w:r>
              <w:rPr>
                <w:rFonts w:hint="eastAsia"/>
                <w:color w:val="auto"/>
              </w:rPr>
              <w:t>②液态危险废物应装入容器内贮存，或直接采用贮存池、贮存罐区贮存。</w:t>
            </w:r>
          </w:p>
          <w:p w14:paraId="60B93C06">
            <w:pPr>
              <w:pStyle w:val="3"/>
              <w:ind w:firstLine="480"/>
              <w:rPr>
                <w:color w:val="auto"/>
              </w:rPr>
            </w:pPr>
            <w:r>
              <w:rPr>
                <w:rFonts w:hint="eastAsia"/>
                <w:color w:val="auto"/>
              </w:rPr>
              <w:t>③半固态危险废物应装入容器或包装袋内贮存，或直接采用贮存池贮存。</w:t>
            </w:r>
          </w:p>
          <w:p w14:paraId="3D409383">
            <w:pPr>
              <w:pStyle w:val="3"/>
              <w:ind w:firstLine="480"/>
              <w:rPr>
                <w:color w:val="auto"/>
              </w:rPr>
            </w:pPr>
            <w:r>
              <w:rPr>
                <w:rFonts w:hint="eastAsia"/>
                <w:color w:val="auto"/>
              </w:rPr>
              <w:t>④具有热塑性的危险废物应装入容器或包装袋内进行贮存。</w:t>
            </w:r>
          </w:p>
          <w:p w14:paraId="7167E08E">
            <w:pPr>
              <w:pStyle w:val="3"/>
              <w:ind w:firstLine="480"/>
              <w:rPr>
                <w:color w:val="auto"/>
              </w:rPr>
            </w:pPr>
            <w:r>
              <w:rPr>
                <w:rFonts w:hint="eastAsia"/>
                <w:color w:val="auto"/>
              </w:rPr>
              <w:t>⑤易产生粉尘、</w:t>
            </w:r>
            <w:r>
              <w:rPr>
                <w:color w:val="auto"/>
              </w:rPr>
              <w:t>VOCs</w:t>
            </w:r>
            <w:r>
              <w:rPr>
                <w:rFonts w:hint="eastAsia"/>
                <w:color w:val="auto"/>
              </w:rPr>
              <w:t>、酸雾、有毒有害大气污染物和刺激性气味气体的危险废物应装入闭口容器或包装物内贮存。</w:t>
            </w:r>
          </w:p>
          <w:p w14:paraId="391E8ADE">
            <w:pPr>
              <w:pStyle w:val="3"/>
              <w:ind w:firstLine="480"/>
              <w:rPr>
                <w:color w:val="auto"/>
              </w:rPr>
            </w:pPr>
            <w:r>
              <w:rPr>
                <w:rFonts w:hint="eastAsia"/>
                <w:color w:val="auto"/>
              </w:rPr>
              <w:t>⑥危险废物贮存过程中易产生粉尘等无组织排放的，应采取抑尘等有效措施。</w:t>
            </w:r>
          </w:p>
          <w:p w14:paraId="63C2340C">
            <w:pPr>
              <w:pStyle w:val="3"/>
              <w:ind w:firstLine="480"/>
              <w:rPr>
                <w:color w:val="auto"/>
              </w:rPr>
            </w:pPr>
            <w:r>
              <w:rPr>
                <w:color w:val="auto"/>
              </w:rPr>
              <w:t>2</w:t>
            </w:r>
            <w:r>
              <w:rPr>
                <w:rFonts w:hint="eastAsia"/>
                <w:color w:val="auto"/>
              </w:rPr>
              <w:t>）贮存设施运行环境管理要求</w:t>
            </w:r>
          </w:p>
          <w:p w14:paraId="2C53A28D">
            <w:pPr>
              <w:pStyle w:val="3"/>
              <w:ind w:firstLine="480"/>
              <w:rPr>
                <w:color w:val="auto"/>
              </w:rPr>
            </w:pPr>
            <w:r>
              <w:rPr>
                <w:rFonts w:hint="eastAsia"/>
                <w:color w:val="auto"/>
              </w:rPr>
              <w:t>①危险废物存入贮存设施前应对危险废物类别和特性与危险废物标签等危险废物识别标志的一致性进行核验，不一致的或类别、特性不明的不应存入。</w:t>
            </w:r>
          </w:p>
          <w:p w14:paraId="1F8FCE2C">
            <w:pPr>
              <w:pStyle w:val="3"/>
              <w:ind w:firstLine="480"/>
              <w:rPr>
                <w:color w:val="auto"/>
              </w:rPr>
            </w:pPr>
            <w:r>
              <w:rPr>
                <w:rFonts w:hint="eastAsia"/>
                <w:color w:val="auto"/>
              </w:rPr>
              <w:t>②应定期检查危险废物的贮存状况，及时清理贮存设施地面，更换破损泄漏的危险废物贮存容器和包装物，保证堆存危险废物的防雨、防风、防扬尘等设施功能完好。</w:t>
            </w:r>
          </w:p>
          <w:p w14:paraId="6AE52461">
            <w:pPr>
              <w:pStyle w:val="3"/>
              <w:ind w:firstLine="480"/>
              <w:rPr>
                <w:color w:val="auto"/>
              </w:rPr>
            </w:pPr>
            <w:r>
              <w:rPr>
                <w:rFonts w:hint="eastAsia"/>
                <w:color w:val="auto"/>
              </w:rPr>
              <w:t>③作业设备及车辆等结束作业离开贮存设施时，应对其残留的危险废物进行清理，清理的废物或清洗废水应收集处理。</w:t>
            </w:r>
          </w:p>
          <w:p w14:paraId="73B1987E">
            <w:pPr>
              <w:pStyle w:val="3"/>
              <w:ind w:firstLine="480"/>
              <w:rPr>
                <w:color w:val="auto"/>
              </w:rPr>
            </w:pPr>
            <w:r>
              <w:rPr>
                <w:rFonts w:hint="eastAsia"/>
                <w:color w:val="auto"/>
              </w:rPr>
              <w:t>④贮存设施运行期间，应按国家有关标准和规定建立危险废物管理台账并保存。</w:t>
            </w:r>
          </w:p>
          <w:p w14:paraId="7F341254">
            <w:pPr>
              <w:pStyle w:val="3"/>
              <w:ind w:firstLine="480"/>
              <w:rPr>
                <w:color w:val="auto"/>
              </w:rPr>
            </w:pPr>
            <w:r>
              <w:rPr>
                <w:rFonts w:hint="eastAsia"/>
                <w:color w:val="auto"/>
              </w:rPr>
              <w:t>⑤贮存设施所有者或运营者应建立贮存设施环境管理制度、管理人员岗位职责制度、设施运行操作制度、人员岗位培训制度等。</w:t>
            </w:r>
          </w:p>
          <w:p w14:paraId="0BB02AC3">
            <w:pPr>
              <w:pStyle w:val="3"/>
              <w:ind w:firstLine="480"/>
              <w:rPr>
                <w:color w:val="auto"/>
              </w:rPr>
            </w:pPr>
            <w:r>
              <w:rPr>
                <w:rFonts w:hint="eastAsia"/>
                <w:color w:val="auto"/>
              </w:rPr>
              <w:t>⑥贮存设施所有者或运营者应依据国家土壤和地下水污染防治的有关规定，结合贮存设施特点建立土壤和地下水污染隐患排查制度，并定期开展隐患排查；发现隐患应及时采取措施消除隐患，并建立档案。</w:t>
            </w:r>
          </w:p>
          <w:p w14:paraId="00653344">
            <w:pPr>
              <w:pStyle w:val="3"/>
              <w:ind w:firstLine="480"/>
              <w:rPr>
                <w:color w:val="auto"/>
              </w:rPr>
            </w:pPr>
            <w:r>
              <w:rPr>
                <w:rFonts w:hint="eastAsia"/>
                <w:color w:val="auto"/>
              </w:rPr>
              <w:t>⑦贮存设施所有者或运营者应建立贮存设施全部档案，包括设计、施工、验收、运行、监测和环境应急等，应按国家有关档案管理的法律法规进行整理和归档。</w:t>
            </w:r>
          </w:p>
          <w:p w14:paraId="456C6290">
            <w:pPr>
              <w:pStyle w:val="3"/>
              <w:ind w:firstLine="480"/>
              <w:rPr>
                <w:color w:val="auto"/>
              </w:rPr>
            </w:pPr>
            <w:r>
              <w:rPr>
                <w:rFonts w:hint="eastAsia"/>
                <w:color w:val="auto"/>
              </w:rPr>
              <w:t>（</w:t>
            </w:r>
            <w:r>
              <w:rPr>
                <w:color w:val="auto"/>
              </w:rPr>
              <w:t>4</w:t>
            </w:r>
            <w:r>
              <w:rPr>
                <w:rFonts w:hint="eastAsia"/>
                <w:color w:val="auto"/>
              </w:rPr>
              <w:t>）危险废物运输过程的环境影响分析</w:t>
            </w:r>
          </w:p>
          <w:p w14:paraId="6A0E0441">
            <w:pPr>
              <w:pStyle w:val="3"/>
              <w:ind w:firstLine="480"/>
              <w:rPr>
                <w:color w:val="auto"/>
              </w:rPr>
            </w:pPr>
            <w:r>
              <w:rPr>
                <w:color w:val="auto"/>
              </w:rPr>
              <w:t>a</w:t>
            </w:r>
            <w:r>
              <w:rPr>
                <w:rFonts w:hint="eastAsia"/>
                <w:color w:val="auto"/>
              </w:rPr>
              <w:t>、场内运输要求</w:t>
            </w:r>
          </w:p>
          <w:p w14:paraId="36C626F4">
            <w:pPr>
              <w:pStyle w:val="3"/>
              <w:ind w:firstLine="480"/>
              <w:rPr>
                <w:color w:val="auto"/>
              </w:rPr>
            </w:pPr>
            <w:r>
              <w:rPr>
                <w:rFonts w:hint="eastAsia"/>
                <w:color w:val="auto"/>
              </w:rPr>
              <w:t>本评价要求建设单位危险废物场内运输转移过程（即从危废产生点到危废暂存间运输过程）按下列要求实施：</w:t>
            </w:r>
          </w:p>
          <w:p w14:paraId="6AD12359">
            <w:pPr>
              <w:pStyle w:val="3"/>
              <w:ind w:firstLine="480"/>
              <w:rPr>
                <w:color w:val="auto"/>
              </w:rPr>
            </w:pPr>
            <w:r>
              <w:rPr>
                <w:rFonts w:hint="eastAsia"/>
                <w:color w:val="auto"/>
              </w:rPr>
              <w:t>①现场将危险废物运往危废暂存区时必须使用防滴漏台车，不同种类危险废物一起运输时，必须每种废弃物用单独的胶袋装好</w:t>
            </w:r>
          </w:p>
          <w:p w14:paraId="7445FCD3">
            <w:pPr>
              <w:pStyle w:val="3"/>
              <w:ind w:firstLine="480"/>
              <w:rPr>
                <w:color w:val="auto"/>
              </w:rPr>
            </w:pPr>
            <w:r>
              <w:rPr>
                <w:rFonts w:hint="eastAsia"/>
                <w:color w:val="auto"/>
              </w:rPr>
              <w:t>②危废暂存区工作人员必须将现场送过来的危险废物，分类装到相应的蝴蝶篓中，由中转站人员用叉车拉走</w:t>
            </w:r>
          </w:p>
          <w:p w14:paraId="3C010F48">
            <w:pPr>
              <w:pStyle w:val="3"/>
              <w:ind w:firstLine="480"/>
              <w:rPr>
                <w:color w:val="auto"/>
              </w:rPr>
            </w:pPr>
            <w:r>
              <w:rPr>
                <w:rFonts w:hint="eastAsia"/>
                <w:color w:val="auto"/>
              </w:rPr>
              <w:t>③运输工作人员配备通讯设备、照明设施、安全防护服装及工具，并设有应急防护设施。</w:t>
            </w:r>
          </w:p>
          <w:p w14:paraId="0FB414E7">
            <w:pPr>
              <w:pStyle w:val="3"/>
              <w:ind w:firstLine="480"/>
              <w:rPr>
                <w:color w:val="auto"/>
              </w:rPr>
            </w:pPr>
            <w:r>
              <w:rPr>
                <w:rFonts w:hint="eastAsia"/>
                <w:color w:val="auto"/>
              </w:rPr>
              <w:t>④危废暂存区内必须有足够数量的灭火器与安全防护设备，暂存区人员必须经过应急救援的训练，定期参与应急演练。</w:t>
            </w:r>
          </w:p>
          <w:p w14:paraId="0A9289EF">
            <w:pPr>
              <w:pStyle w:val="3"/>
              <w:ind w:firstLine="480"/>
              <w:rPr>
                <w:color w:val="auto"/>
              </w:rPr>
            </w:pPr>
            <w:r>
              <w:rPr>
                <w:color w:val="auto"/>
              </w:rPr>
              <w:t>b</w:t>
            </w:r>
            <w:r>
              <w:rPr>
                <w:rFonts w:hint="eastAsia"/>
                <w:color w:val="auto"/>
              </w:rPr>
              <w:t>、场外危险废物运输</w:t>
            </w:r>
          </w:p>
          <w:p w14:paraId="32C24927">
            <w:pPr>
              <w:pStyle w:val="3"/>
              <w:ind w:firstLine="480"/>
              <w:rPr>
                <w:color w:val="auto"/>
              </w:rPr>
            </w:pPr>
            <w:r>
              <w:rPr>
                <w:rFonts w:hint="eastAsia"/>
                <w:color w:val="auto"/>
              </w:rPr>
              <w:t>本评价要求建设单位危险废物场外运输转移过程按照《危险废物收集贮存运输技术规范》（</w:t>
            </w:r>
            <w:r>
              <w:rPr>
                <w:color w:val="auto"/>
              </w:rPr>
              <w:t>HJ2025-2012</w:t>
            </w:r>
            <w:r>
              <w:rPr>
                <w:rFonts w:hint="eastAsia"/>
                <w:color w:val="auto"/>
              </w:rPr>
              <w:t>）要求：</w:t>
            </w:r>
          </w:p>
          <w:p w14:paraId="627D20E7">
            <w:pPr>
              <w:pStyle w:val="3"/>
              <w:ind w:firstLine="480"/>
              <w:rPr>
                <w:color w:val="auto"/>
              </w:rPr>
            </w:pPr>
            <w:r>
              <w:rPr>
                <w:rFonts w:hint="eastAsia"/>
                <w:color w:val="auto"/>
              </w:rPr>
              <w:t>①委托有危险废物经营许可证的单位进行收集运输，在收集运输危险废物时，应根据危险废物经营许可证核发的有关规定建立相应的规章制度和污染防治措施，包括危险废物分析管理制度、安全管理制度、污染防治措施等；</w:t>
            </w:r>
          </w:p>
          <w:p w14:paraId="75641F8C">
            <w:pPr>
              <w:pStyle w:val="3"/>
              <w:ind w:firstLine="480"/>
              <w:rPr>
                <w:color w:val="auto"/>
              </w:rPr>
            </w:pPr>
            <w:r>
              <w:rPr>
                <w:rFonts w:hint="eastAsia"/>
                <w:color w:val="auto"/>
              </w:rPr>
              <w:t>②危险废</w:t>
            </w:r>
            <w:r>
              <w:rPr>
                <w:rFonts w:hint="eastAsia"/>
                <w:color w:val="auto"/>
                <w:lang w:val="en-US" w:eastAsia="zh-CN"/>
              </w:rPr>
              <w:t>物</w:t>
            </w:r>
            <w:bookmarkStart w:id="291" w:name="_GoBack"/>
            <w:bookmarkEnd w:id="291"/>
            <w:r>
              <w:rPr>
                <w:rFonts w:hint="eastAsia"/>
                <w:color w:val="auto"/>
              </w:rPr>
              <w:t>转移过程按《危险废物转移联单管理办法》执行；</w:t>
            </w:r>
          </w:p>
          <w:p w14:paraId="1D1B31B3">
            <w:pPr>
              <w:pStyle w:val="3"/>
              <w:ind w:firstLine="480"/>
              <w:rPr>
                <w:color w:val="auto"/>
              </w:rPr>
            </w:pPr>
            <w:r>
              <w:rPr>
                <w:rFonts w:hint="eastAsia"/>
                <w:color w:val="auto"/>
              </w:rPr>
              <w:t>③危险废物运输过程中一旦发生意外事故，运输单位及相关部门应根据风险程度采取如下措施：</w:t>
            </w:r>
          </w:p>
          <w:p w14:paraId="374E72F9">
            <w:pPr>
              <w:pStyle w:val="3"/>
              <w:ind w:firstLine="480"/>
              <w:rPr>
                <w:color w:val="auto"/>
              </w:rPr>
            </w:pPr>
            <w:r>
              <w:rPr>
                <w:color w:val="auto"/>
              </w:rPr>
              <w:t>A.</w:t>
            </w:r>
            <w:r>
              <w:rPr>
                <w:rFonts w:hint="eastAsia"/>
                <w:color w:val="auto"/>
              </w:rPr>
              <w:t>设立事故警戒线，启动应急预案，并按《突发环境事件信息报告办法》要求进行报告；</w:t>
            </w:r>
          </w:p>
          <w:p w14:paraId="579D9738">
            <w:pPr>
              <w:pStyle w:val="3"/>
              <w:ind w:firstLine="480"/>
              <w:rPr>
                <w:color w:val="auto"/>
              </w:rPr>
            </w:pPr>
            <w:r>
              <w:rPr>
                <w:color w:val="auto"/>
              </w:rPr>
              <w:t>B.</w:t>
            </w:r>
            <w:r>
              <w:rPr>
                <w:rFonts w:hint="eastAsia"/>
                <w:color w:val="auto"/>
              </w:rPr>
              <w:t>若造成事故的危险物有剧毒性、易燃性、爆炸性或高传染性，应立即疏散人群，并请求环境保护、消防、医疗、公安等相关部门支援；</w:t>
            </w:r>
          </w:p>
          <w:p w14:paraId="53BF143D">
            <w:pPr>
              <w:pStyle w:val="3"/>
              <w:ind w:firstLine="480"/>
              <w:rPr>
                <w:color w:val="auto"/>
              </w:rPr>
            </w:pPr>
            <w:r>
              <w:rPr>
                <w:color w:val="auto"/>
              </w:rPr>
              <w:t>C.</w:t>
            </w:r>
            <w:r>
              <w:rPr>
                <w:rFonts w:hint="eastAsia"/>
                <w:color w:val="auto"/>
              </w:rPr>
              <w:t>对事故现场收到污染的土壤和水体等环境介质应进行相应的清理和修复；</w:t>
            </w:r>
          </w:p>
          <w:p w14:paraId="64783A48">
            <w:pPr>
              <w:pStyle w:val="3"/>
              <w:ind w:firstLine="480"/>
              <w:rPr>
                <w:color w:val="auto"/>
              </w:rPr>
            </w:pPr>
            <w:r>
              <w:rPr>
                <w:color w:val="auto"/>
              </w:rPr>
              <w:t>D.</w:t>
            </w:r>
            <w:r>
              <w:rPr>
                <w:rFonts w:hint="eastAsia"/>
                <w:color w:val="auto"/>
              </w:rPr>
              <w:t>清理过程中产生的所有危险废物均应按危险废物进行管理和处置；</w:t>
            </w:r>
          </w:p>
          <w:p w14:paraId="7360B8FD">
            <w:pPr>
              <w:pStyle w:val="3"/>
              <w:ind w:firstLine="480"/>
              <w:rPr>
                <w:color w:val="auto"/>
              </w:rPr>
            </w:pPr>
            <w:r>
              <w:rPr>
                <w:color w:val="auto"/>
              </w:rPr>
              <w:t>E.</w:t>
            </w:r>
            <w:r>
              <w:rPr>
                <w:rFonts w:hint="eastAsia"/>
                <w:color w:val="auto"/>
              </w:rPr>
              <w:t>进入现场清理和包装危险废物的人员应受过专业培训，穿着防护服，并佩戴相应的防护用具。</w:t>
            </w:r>
          </w:p>
          <w:p w14:paraId="60A5C422">
            <w:pPr>
              <w:pStyle w:val="3"/>
              <w:ind w:firstLine="480"/>
              <w:rPr>
                <w:color w:val="auto"/>
              </w:rPr>
            </w:pPr>
            <w:r>
              <w:rPr>
                <w:rFonts w:hint="eastAsia"/>
                <w:color w:val="auto"/>
              </w:rPr>
              <w:t>在严格采取以上措施情况下，本项目营运期产生的各类固体废物均可得到妥善处理和处置，不会对周围环境产生二次污染，对环境影响较小。</w:t>
            </w:r>
          </w:p>
          <w:p w14:paraId="526240DD">
            <w:pPr>
              <w:pStyle w:val="3"/>
              <w:ind w:firstLine="482"/>
              <w:rPr>
                <w:b/>
                <w:bCs/>
                <w:color w:val="auto"/>
              </w:rPr>
            </w:pPr>
            <w:r>
              <w:rPr>
                <w:b/>
                <w:bCs/>
                <w:color w:val="auto"/>
              </w:rPr>
              <w:t>4</w:t>
            </w:r>
            <w:r>
              <w:rPr>
                <w:rFonts w:hint="eastAsia"/>
                <w:b/>
                <w:bCs/>
                <w:color w:val="auto"/>
              </w:rPr>
              <w:t>、危险废物运输管理要求</w:t>
            </w:r>
          </w:p>
          <w:p w14:paraId="1E5F496F">
            <w:pPr>
              <w:pStyle w:val="3"/>
              <w:ind w:firstLine="480"/>
              <w:rPr>
                <w:color w:val="auto"/>
              </w:rPr>
            </w:pPr>
            <w:r>
              <w:rPr>
                <w:rFonts w:hint="eastAsia"/>
                <w:color w:val="auto"/>
              </w:rPr>
              <w:t>本评价要求建设单位危险废物运输转移过程按照《危险废物收集贮存运输技术规范》（</w:t>
            </w:r>
            <w:r>
              <w:rPr>
                <w:color w:val="auto"/>
              </w:rPr>
              <w:t>HJ2025-2012</w:t>
            </w:r>
            <w:r>
              <w:rPr>
                <w:rFonts w:hint="eastAsia"/>
                <w:color w:val="auto"/>
              </w:rPr>
              <w:t>）要求：</w:t>
            </w:r>
          </w:p>
          <w:p w14:paraId="4890F76C">
            <w:pPr>
              <w:pStyle w:val="3"/>
              <w:ind w:firstLine="480"/>
              <w:rPr>
                <w:color w:val="auto"/>
              </w:rPr>
            </w:pPr>
            <w:r>
              <w:rPr>
                <w:rFonts w:hint="eastAsia"/>
                <w:color w:val="auto"/>
              </w:rPr>
              <w:t>①委托有危险废物经营许可证的单位进行收集运输，在收集运输危险废物时，应根据危险废物经营许可证核发的有关规定建立相应的规章制度和污染防治措施，包括危险废物分析管理制度、安全管理制度、污染防治措施等；</w:t>
            </w:r>
          </w:p>
          <w:p w14:paraId="7C70CABD">
            <w:pPr>
              <w:pStyle w:val="3"/>
              <w:ind w:firstLine="480"/>
              <w:rPr>
                <w:color w:val="auto"/>
              </w:rPr>
            </w:pPr>
            <w:r>
              <w:rPr>
                <w:rFonts w:hint="eastAsia"/>
                <w:color w:val="auto"/>
              </w:rPr>
              <w:t>②危险废物转移过程按《危险废物转移管理办法》执行；</w:t>
            </w:r>
          </w:p>
          <w:p w14:paraId="0E1EB311">
            <w:pPr>
              <w:pStyle w:val="3"/>
              <w:ind w:firstLine="480"/>
              <w:rPr>
                <w:color w:val="auto"/>
              </w:rPr>
            </w:pPr>
            <w:r>
              <w:rPr>
                <w:rFonts w:hint="eastAsia"/>
                <w:color w:val="auto"/>
              </w:rPr>
              <w:t>③危险废物运输过程中一旦发生意外事故，运输单位及相关部门应根据风险程度采取如下措施：</w:t>
            </w:r>
          </w:p>
          <w:p w14:paraId="4AC85723">
            <w:pPr>
              <w:pStyle w:val="3"/>
              <w:ind w:firstLine="480"/>
              <w:rPr>
                <w:color w:val="auto"/>
              </w:rPr>
            </w:pPr>
            <w:r>
              <w:rPr>
                <w:color w:val="auto"/>
              </w:rPr>
              <w:t>A.</w:t>
            </w:r>
            <w:r>
              <w:rPr>
                <w:rFonts w:hint="eastAsia"/>
                <w:color w:val="auto"/>
              </w:rPr>
              <w:t>设立事故警戒线，启动应急预案，并按《突发环境事件信息报告办法》（</w:t>
            </w:r>
            <w:r>
              <w:rPr>
                <w:color w:val="auto"/>
              </w:rPr>
              <w:t>2011</w:t>
            </w:r>
            <w:r>
              <w:rPr>
                <w:rFonts w:hint="eastAsia"/>
                <w:color w:val="auto"/>
              </w:rPr>
              <w:t>年</w:t>
            </w:r>
            <w:r>
              <w:rPr>
                <w:color w:val="auto"/>
              </w:rPr>
              <w:t>4</w:t>
            </w:r>
            <w:r>
              <w:rPr>
                <w:rFonts w:hint="eastAsia"/>
                <w:color w:val="auto"/>
              </w:rPr>
              <w:t>月</w:t>
            </w:r>
            <w:r>
              <w:rPr>
                <w:color w:val="auto"/>
              </w:rPr>
              <w:t>18</w:t>
            </w:r>
            <w:r>
              <w:rPr>
                <w:rFonts w:hint="eastAsia"/>
                <w:color w:val="auto"/>
              </w:rPr>
              <w:t>日环境保护部令第</w:t>
            </w:r>
            <w:r>
              <w:rPr>
                <w:color w:val="auto"/>
              </w:rPr>
              <w:t>17</w:t>
            </w:r>
            <w:r>
              <w:rPr>
                <w:rFonts w:hint="eastAsia"/>
                <w:color w:val="auto"/>
              </w:rPr>
              <w:t>号公布自</w:t>
            </w:r>
            <w:r>
              <w:rPr>
                <w:color w:val="auto"/>
              </w:rPr>
              <w:t>2011</w:t>
            </w:r>
            <w:r>
              <w:rPr>
                <w:rFonts w:hint="eastAsia"/>
                <w:color w:val="auto"/>
              </w:rPr>
              <w:t>年</w:t>
            </w:r>
            <w:r>
              <w:rPr>
                <w:color w:val="auto"/>
              </w:rPr>
              <w:t>5</w:t>
            </w:r>
            <w:r>
              <w:rPr>
                <w:rFonts w:hint="eastAsia"/>
                <w:color w:val="auto"/>
              </w:rPr>
              <w:t>月</w:t>
            </w:r>
            <w:r>
              <w:rPr>
                <w:color w:val="auto"/>
              </w:rPr>
              <w:t>1</w:t>
            </w:r>
            <w:r>
              <w:rPr>
                <w:rFonts w:hint="eastAsia"/>
                <w:color w:val="auto"/>
              </w:rPr>
              <w:t>日起施行）要求进行报告；</w:t>
            </w:r>
          </w:p>
          <w:p w14:paraId="02C3A9E4">
            <w:pPr>
              <w:pStyle w:val="3"/>
              <w:ind w:firstLine="480"/>
              <w:rPr>
                <w:color w:val="auto"/>
              </w:rPr>
            </w:pPr>
            <w:r>
              <w:rPr>
                <w:color w:val="auto"/>
              </w:rPr>
              <w:t>B.</w:t>
            </w:r>
            <w:r>
              <w:rPr>
                <w:rFonts w:hint="eastAsia"/>
                <w:color w:val="auto"/>
              </w:rPr>
              <w:t>若造成事故的危险物有剧毒性、易燃性、爆炸性或高传染性，应立即疏散人群，并请求环境保护、消防、医疗、公安等相关部门支援；</w:t>
            </w:r>
          </w:p>
          <w:p w14:paraId="275950F1">
            <w:pPr>
              <w:pStyle w:val="3"/>
              <w:ind w:firstLine="480"/>
              <w:rPr>
                <w:color w:val="auto"/>
              </w:rPr>
            </w:pPr>
            <w:r>
              <w:rPr>
                <w:color w:val="auto"/>
              </w:rPr>
              <w:t>C.</w:t>
            </w:r>
            <w:r>
              <w:rPr>
                <w:rFonts w:hint="eastAsia"/>
                <w:color w:val="auto"/>
              </w:rPr>
              <w:t>对事故现场受到污染的土壤和水体等环境介质应进行相应的清理和修复；</w:t>
            </w:r>
          </w:p>
          <w:p w14:paraId="28830179">
            <w:pPr>
              <w:pStyle w:val="3"/>
              <w:ind w:firstLine="480"/>
              <w:rPr>
                <w:color w:val="auto"/>
              </w:rPr>
            </w:pPr>
            <w:r>
              <w:rPr>
                <w:color w:val="auto"/>
              </w:rPr>
              <w:t>D.</w:t>
            </w:r>
            <w:r>
              <w:rPr>
                <w:rFonts w:hint="eastAsia"/>
                <w:color w:val="auto"/>
              </w:rPr>
              <w:t>清理过程中产生的所有危险废物均应按危险废物进行管理和处置；</w:t>
            </w:r>
          </w:p>
          <w:p w14:paraId="44DC5A38">
            <w:pPr>
              <w:pStyle w:val="3"/>
              <w:ind w:firstLine="480"/>
              <w:rPr>
                <w:color w:val="auto"/>
              </w:rPr>
            </w:pPr>
            <w:r>
              <w:rPr>
                <w:color w:val="auto"/>
              </w:rPr>
              <w:t>E.</w:t>
            </w:r>
            <w:r>
              <w:rPr>
                <w:rFonts w:hint="eastAsia"/>
                <w:color w:val="auto"/>
              </w:rPr>
              <w:t>进入现场清理和包装危险废物的人员应受过专业培训，穿着防护服，并佩戴相应的防护用具。</w:t>
            </w:r>
          </w:p>
          <w:p w14:paraId="547DF953">
            <w:pPr>
              <w:pStyle w:val="3"/>
              <w:ind w:firstLine="480"/>
              <w:rPr>
                <w:color w:val="auto"/>
              </w:rPr>
            </w:pPr>
            <w:r>
              <w:rPr>
                <w:rFonts w:hint="eastAsia"/>
                <w:color w:val="auto"/>
              </w:rPr>
              <w:t>④危险废物运输时应按腐蚀性、毒性、易燃性、反应性和感染性等危险特性对危险废物进行分类、包装并设置相应的标志及标签。</w:t>
            </w:r>
          </w:p>
          <w:p w14:paraId="2C8D464E">
            <w:pPr>
              <w:pStyle w:val="3"/>
              <w:ind w:firstLine="480"/>
              <w:rPr>
                <w:color w:val="auto"/>
              </w:rPr>
            </w:pPr>
            <w:r>
              <w:rPr>
                <w:rFonts w:hint="eastAsia"/>
                <w:color w:val="auto"/>
              </w:rPr>
              <w:t>危险废物运输过程中采取上述措施后，可有效防止危险废物运输过程中散落、泄漏，减轻对环境的影响。同时本评价建议危险废物道路运输符合《道路危险货物运输管理规定》（交通部令【</w:t>
            </w:r>
            <w:r>
              <w:rPr>
                <w:color w:val="auto"/>
              </w:rPr>
              <w:t>2005</w:t>
            </w:r>
            <w:r>
              <w:rPr>
                <w:rFonts w:hint="eastAsia"/>
                <w:color w:val="auto"/>
              </w:rPr>
              <w:t>】第</w:t>
            </w:r>
            <w:r>
              <w:rPr>
                <w:color w:val="auto"/>
              </w:rPr>
              <w:t>9</w:t>
            </w:r>
            <w:r>
              <w:rPr>
                <w:rFonts w:hint="eastAsia"/>
                <w:color w:val="auto"/>
              </w:rPr>
              <w:t>号）、</w:t>
            </w:r>
            <w:r>
              <w:rPr>
                <w:color w:val="auto"/>
              </w:rPr>
              <w:t>JT617</w:t>
            </w:r>
            <w:r>
              <w:rPr>
                <w:rFonts w:hint="eastAsia"/>
                <w:color w:val="auto"/>
              </w:rPr>
              <w:t>以及</w:t>
            </w:r>
            <w:r>
              <w:rPr>
                <w:color w:val="auto"/>
              </w:rPr>
              <w:t>JT618</w:t>
            </w:r>
            <w:r>
              <w:rPr>
                <w:rFonts w:hint="eastAsia"/>
                <w:color w:val="auto"/>
              </w:rPr>
              <w:t>执行，运输路线尽量避开村庄、居民小区、学校等环境敏感点，减轻对其影响。</w:t>
            </w:r>
          </w:p>
          <w:p w14:paraId="3CE87A72">
            <w:pPr>
              <w:pStyle w:val="7"/>
              <w:rPr>
                <w:color w:val="auto"/>
              </w:rPr>
            </w:pPr>
            <w:r>
              <w:rPr>
                <w:rFonts w:hint="eastAsia"/>
                <w:color w:val="auto"/>
              </w:rPr>
              <w:t>五、地下水及土壤</w:t>
            </w:r>
          </w:p>
          <w:p w14:paraId="6F26E356">
            <w:pPr>
              <w:pStyle w:val="3"/>
              <w:ind w:firstLine="480"/>
              <w:rPr>
                <w:color w:val="auto"/>
              </w:rPr>
            </w:pPr>
            <w:r>
              <w:rPr>
                <w:rFonts w:hint="eastAsia"/>
                <w:color w:val="auto"/>
              </w:rPr>
              <w:t>本项目为马来西亚中小企业集聚区标准厂房及配套设施建设项目的子工程，不包含后续具体项目，项目运行期主要为锅炉等公辅工程运行产生的影响，主要污染物为锅炉废水、蒸汽锅炉配套软水制备过程中产生的浓水、以及废离子交换树脂等固体废物。</w:t>
            </w:r>
          </w:p>
          <w:p w14:paraId="31F5961A">
            <w:pPr>
              <w:pStyle w:val="3"/>
              <w:ind w:firstLine="480"/>
              <w:rPr>
                <w:color w:val="auto"/>
              </w:rPr>
            </w:pPr>
            <w:r>
              <w:rPr>
                <w:rFonts w:hint="eastAsia"/>
                <w:color w:val="auto"/>
              </w:rPr>
              <w:t>地下水防渗原则：根据地下水污染防治措施和对策，“坚持源头控制、分区防控、污染监控。应急响应、重点突出饮用水源水质安全”的原则。</w:t>
            </w:r>
          </w:p>
          <w:p w14:paraId="358C400F">
            <w:pPr>
              <w:pStyle w:val="3"/>
              <w:ind w:firstLine="480"/>
              <w:rPr>
                <w:color w:val="auto"/>
              </w:rPr>
            </w:pPr>
            <w:r>
              <w:rPr>
                <w:rFonts w:hint="eastAsia"/>
                <w:color w:val="auto"/>
              </w:rPr>
              <w:t>1）源头控制</w:t>
            </w:r>
          </w:p>
          <w:p w14:paraId="60824668">
            <w:pPr>
              <w:pStyle w:val="3"/>
              <w:ind w:firstLine="480"/>
              <w:rPr>
                <w:color w:val="auto"/>
              </w:rPr>
            </w:pPr>
            <w:r>
              <w:rPr>
                <w:rFonts w:hint="eastAsia"/>
                <w:color w:val="auto"/>
              </w:rPr>
              <w:t>①项目应根据国家现行相关规范加强环境管理，采取防治和降低污染物跑冒、漏、滴、漏的措施。正常生产过程中应加强巡检及时处理污染物跑、冒漏、滴、漏。同时应加强对防渗工程检查，若发现防渗密封材料老化或损坏，应及时维修更换。</w:t>
            </w:r>
          </w:p>
          <w:p w14:paraId="00D3DE26">
            <w:pPr>
              <w:pStyle w:val="3"/>
              <w:ind w:firstLine="480"/>
              <w:rPr>
                <w:color w:val="auto"/>
              </w:rPr>
            </w:pPr>
            <w:r>
              <w:rPr>
                <w:rFonts w:hint="eastAsia"/>
                <w:color w:val="auto"/>
              </w:rPr>
              <w:t>②)对工艺、设备、污水储存及处理构筑物采取控制措施，防治污染物跑冒、漏、滴、漏，将污染物泄漏的环境污染事故降至最低限度。</w:t>
            </w:r>
          </w:p>
          <w:p w14:paraId="5AFE0D87">
            <w:pPr>
              <w:pStyle w:val="3"/>
              <w:ind w:firstLine="480"/>
              <w:rPr>
                <w:color w:val="auto"/>
              </w:rPr>
            </w:pPr>
            <w:r>
              <w:rPr>
                <w:rFonts w:hint="eastAsia"/>
                <w:color w:val="auto"/>
              </w:rPr>
              <w:t>2）分区防治措施</w:t>
            </w:r>
          </w:p>
          <w:p w14:paraId="368F00CE">
            <w:pPr>
              <w:pStyle w:val="3"/>
              <w:ind w:firstLine="480"/>
              <w:rPr>
                <w:color w:val="auto"/>
              </w:rPr>
            </w:pPr>
            <w:r>
              <w:rPr>
                <w:rFonts w:hint="eastAsia"/>
                <w:color w:val="auto"/>
              </w:rPr>
              <w:t>本项目危废贮存库防渗设计要求等效黏土防渗层Mb≥6.0m，K≤1×10</w:t>
            </w:r>
            <w:r>
              <w:rPr>
                <w:rFonts w:hint="eastAsia"/>
                <w:color w:val="auto"/>
                <w:vertAlign w:val="superscript"/>
              </w:rPr>
              <w:t>-7</w:t>
            </w:r>
            <w:r>
              <w:rPr>
                <w:rFonts w:hint="eastAsia"/>
                <w:color w:val="auto"/>
              </w:rPr>
              <w:t>cm/s或参照GB18598执行。</w:t>
            </w:r>
          </w:p>
          <w:p w14:paraId="5F59D6F3">
            <w:pPr>
              <w:pStyle w:val="3"/>
              <w:ind w:firstLine="480"/>
              <w:rPr>
                <w:color w:val="auto"/>
              </w:rPr>
            </w:pPr>
            <w:r>
              <w:rPr>
                <w:rFonts w:hint="eastAsia"/>
                <w:color w:val="auto"/>
              </w:rPr>
              <w:t>本项目其余锅炉房区域、化粪池，按一般防渗区进行处理，防渗要求达到等效黏土防渗层 Mb&gt;1.5m，K≤10</w:t>
            </w:r>
            <w:r>
              <w:rPr>
                <w:rFonts w:hint="eastAsia"/>
                <w:color w:val="auto"/>
                <w:vertAlign w:val="superscript"/>
              </w:rPr>
              <w:t>-7</w:t>
            </w:r>
            <w:r>
              <w:rPr>
                <w:rFonts w:hint="eastAsia"/>
                <w:color w:val="auto"/>
              </w:rPr>
              <w:t>cm/s。</w:t>
            </w:r>
          </w:p>
          <w:p w14:paraId="742D67DE">
            <w:pPr>
              <w:pStyle w:val="3"/>
              <w:ind w:firstLine="480"/>
              <w:rPr>
                <w:color w:val="auto"/>
              </w:rPr>
            </w:pPr>
            <w:r>
              <w:rPr>
                <w:rFonts w:hint="eastAsia"/>
                <w:color w:val="auto"/>
              </w:rPr>
              <w:t>厂区道路为简单防渗区，采取一般地面硬化措施。</w:t>
            </w:r>
          </w:p>
          <w:p w14:paraId="674F34A7">
            <w:pPr>
              <w:pStyle w:val="3"/>
              <w:ind w:firstLine="480"/>
              <w:rPr>
                <w:color w:val="auto"/>
              </w:rPr>
            </w:pPr>
            <w:r>
              <w:rPr>
                <w:rFonts w:hint="eastAsia"/>
                <w:color w:val="auto"/>
              </w:rPr>
              <w:t>在确保防渗措施得以落实，并加强环境管理的前提下，可有效控制场地内的废水污染物下渗现象，对地下水及土壤环境的影响较小。</w:t>
            </w:r>
          </w:p>
          <w:p w14:paraId="6BB3B096">
            <w:pPr>
              <w:pStyle w:val="3"/>
              <w:ind w:firstLine="480"/>
              <w:rPr>
                <w:color w:val="auto"/>
              </w:rPr>
            </w:pPr>
            <w:r>
              <w:rPr>
                <w:rFonts w:hint="eastAsia"/>
                <w:color w:val="auto"/>
              </w:rPr>
              <w:t>根据HJ610-2016和HJ964-2018，本项目可不设置地下水和土壤跟踪监控点。</w:t>
            </w:r>
          </w:p>
          <w:p w14:paraId="2883D792">
            <w:pPr>
              <w:pStyle w:val="7"/>
              <w:rPr>
                <w:color w:val="auto"/>
              </w:rPr>
            </w:pPr>
            <w:r>
              <w:rPr>
                <w:rFonts w:hint="eastAsia"/>
                <w:color w:val="auto"/>
              </w:rPr>
              <w:t>六、生态</w:t>
            </w:r>
          </w:p>
          <w:p w14:paraId="2A0E2FC7">
            <w:pPr>
              <w:pStyle w:val="3"/>
              <w:ind w:firstLine="480"/>
              <w:rPr>
                <w:color w:val="auto"/>
              </w:rPr>
            </w:pPr>
            <w:r>
              <w:rPr>
                <w:rFonts w:hint="eastAsia"/>
                <w:color w:val="auto"/>
              </w:rPr>
              <w:t>本项目选址区以人工生态系统为主，项目对生态环境的影响主要体现在项目运营期。项目运营期，废气、废水污染物经处理后达标排放，且排放量较小，不会造成周围大气环境和地表水环境的恶化，故本项目的建设对生态环境影响较小。</w:t>
            </w:r>
          </w:p>
          <w:p w14:paraId="38029287">
            <w:pPr>
              <w:pStyle w:val="7"/>
              <w:rPr>
                <w:color w:val="auto"/>
              </w:rPr>
            </w:pPr>
            <w:bookmarkStart w:id="252" w:name="_Ref192750652"/>
            <w:r>
              <w:rPr>
                <w:rFonts w:hint="eastAsia"/>
                <w:color w:val="auto"/>
              </w:rPr>
              <w:t>七、环境风险</w:t>
            </w:r>
            <w:bookmarkEnd w:id="252"/>
          </w:p>
          <w:p w14:paraId="32BB0FAF">
            <w:pPr>
              <w:pStyle w:val="3"/>
              <w:ind w:firstLine="480"/>
              <w:rPr>
                <w:color w:val="auto"/>
              </w:rPr>
            </w:pPr>
            <w:r>
              <w:rPr>
                <w:rFonts w:hint="eastAsia"/>
                <w:color w:val="auto"/>
              </w:rPr>
              <w:t>环境风险评价的目的是分析和预测项目存在的潜在危险、有害因素，项目运行期间可能发生的突发性事件或事故（一般不包括人为破坏及自然灾害），引起有毒有害和易燃易爆等物质泄漏，所造成的人身安全与环境影响和损害程度，提出合理可行的防范、应急与减缓措施，以使建设项目事故率、损失和环境影响达到可接受水平。环境风险评价的工作重点是预测事故发生引起厂界外人群的伤害、环境质量的恶化。</w:t>
            </w:r>
          </w:p>
          <w:p w14:paraId="4D5577CD">
            <w:pPr>
              <w:pStyle w:val="3"/>
              <w:ind w:firstLine="480"/>
              <w:rPr>
                <w:color w:val="auto"/>
              </w:rPr>
            </w:pPr>
            <w:r>
              <w:rPr>
                <w:rFonts w:hint="eastAsia"/>
                <w:color w:val="auto"/>
              </w:rPr>
              <w:t>根据《建设项目环境风险评价技术导则》（HJ169-2018），并结合本项目实际运营情况，确定本项目环境风险评价应把事故引起厂界外人群的伤害、环境质量恶化的预测和防护作为评价工作重点。</w:t>
            </w:r>
          </w:p>
          <w:p w14:paraId="62E1DB65">
            <w:pPr>
              <w:pStyle w:val="3"/>
              <w:ind w:firstLine="482"/>
              <w:rPr>
                <w:b/>
                <w:bCs/>
                <w:color w:val="auto"/>
              </w:rPr>
            </w:pPr>
            <w:r>
              <w:rPr>
                <w:rFonts w:hint="eastAsia"/>
                <w:b/>
                <w:bCs/>
                <w:color w:val="auto"/>
              </w:rPr>
              <w:t>1、风险调查</w:t>
            </w:r>
          </w:p>
          <w:p w14:paraId="0DAAAF6D">
            <w:pPr>
              <w:pStyle w:val="3"/>
              <w:ind w:firstLine="480"/>
              <w:rPr>
                <w:color w:val="auto"/>
              </w:rPr>
            </w:pPr>
            <w:r>
              <w:rPr>
                <w:rFonts w:hint="eastAsia"/>
                <w:color w:val="auto"/>
              </w:rPr>
              <w:t>本次环境风险源调查：危险物质数量和分布情况的风险调查指本项目所涉及的危险物质及其贮存场所。</w:t>
            </w:r>
          </w:p>
          <w:p w14:paraId="68189421">
            <w:pPr>
              <w:pStyle w:val="3"/>
              <w:ind w:firstLine="480"/>
              <w:rPr>
                <w:color w:val="auto"/>
              </w:rPr>
            </w:pPr>
            <w:r>
              <w:rPr>
                <w:rFonts w:hint="eastAsia"/>
                <w:color w:val="auto"/>
              </w:rPr>
              <w:t>根据《建设项目环境风险评价技术导则》（HJ169-2018）附录 B“突发环境事件风险物质及临界量清单”以及《企业突发环境事件风险分析方法》（HJ941-2018）内容，本项目</w:t>
            </w:r>
            <w:bookmarkStart w:id="253" w:name="OLE_LINK277"/>
            <w:r>
              <w:rPr>
                <w:rFonts w:hint="eastAsia"/>
                <w:color w:val="auto"/>
              </w:rPr>
              <w:t>不涉及风险物质。</w:t>
            </w:r>
            <w:bookmarkEnd w:id="253"/>
          </w:p>
          <w:p w14:paraId="11F7A449">
            <w:pPr>
              <w:pStyle w:val="3"/>
              <w:ind w:firstLine="482"/>
              <w:rPr>
                <w:b/>
                <w:bCs/>
                <w:color w:val="auto"/>
              </w:rPr>
            </w:pPr>
            <w:r>
              <w:rPr>
                <w:rFonts w:hint="eastAsia"/>
                <w:b/>
                <w:bCs/>
                <w:color w:val="auto"/>
              </w:rPr>
              <w:t>2、环境风险潜势初判</w:t>
            </w:r>
          </w:p>
          <w:p w14:paraId="64664661">
            <w:pPr>
              <w:pStyle w:val="3"/>
              <w:ind w:firstLine="480"/>
              <w:rPr>
                <w:color w:val="auto"/>
              </w:rPr>
            </w:pPr>
            <w:r>
              <w:rPr>
                <w:rFonts w:hint="eastAsia"/>
                <w:color w:val="auto"/>
              </w:rPr>
              <w:t>依据《建设项目环境风险评价技术导则》（HJ 168-2018）中规定，根据企业生产、使用、存储过程中涉及的有毒有害、易燃易爆物质，参见风险导则附录 B 确定危险物质的临界量。定量分析危险物质数量与临界量的比值（Q）和所属行业及生产工艺特点（M），按附录C对危险物质及工艺系统危险性（P）等级进行判断。</w:t>
            </w:r>
          </w:p>
          <w:p w14:paraId="42A6EA7A">
            <w:pPr>
              <w:pStyle w:val="3"/>
              <w:ind w:firstLine="480"/>
              <w:rPr>
                <w:color w:val="auto"/>
              </w:rPr>
            </w:pPr>
            <w:r>
              <w:rPr>
                <w:rFonts w:hint="eastAsia"/>
                <w:color w:val="auto"/>
              </w:rPr>
              <w:t>危险物质数量与临界量比值（Q）：</w:t>
            </w:r>
          </w:p>
          <w:p w14:paraId="187E3219">
            <w:pPr>
              <w:pStyle w:val="3"/>
              <w:ind w:firstLine="480"/>
              <w:rPr>
                <w:color w:val="auto"/>
              </w:rPr>
            </w:pPr>
            <w:r>
              <w:rPr>
                <w:rFonts w:hint="eastAsia"/>
                <w:color w:val="auto"/>
              </w:rPr>
              <w:t>危险物质包括风险导则附录B中的全部风险物质。判断企业生产原料、产品、中间产品、副产品、催化剂、辅助生产物料、燃料、“三废”污染物等是否涉及风险物质（混合或稀释的风险物质按其组分比例折算成纯物质），计算所涉及的每种危险物质在厂界内的最大存在总量与其在附录 B 中对应临界量的比值Q。在不同厂区的同一种物质，按其在厂界内的最大存在总量计算。对于长输管线项目，按照两个截断阀室之间管段危险物质最大存在总量计算：</w:t>
            </w:r>
          </w:p>
          <w:p w14:paraId="3C54B283">
            <w:pPr>
              <w:pStyle w:val="3"/>
              <w:ind w:firstLine="480"/>
              <w:rPr>
                <w:color w:val="auto"/>
              </w:rPr>
            </w:pPr>
            <w:r>
              <w:rPr>
                <w:rFonts w:hint="eastAsia"/>
                <w:color w:val="auto"/>
              </w:rPr>
              <w:t>①当企业只涉及一种风险物质时，该物质的数量与其临界量比值，即为Q：</w:t>
            </w:r>
          </w:p>
          <w:p w14:paraId="185125BB">
            <w:pPr>
              <w:pStyle w:val="3"/>
              <w:ind w:firstLine="480"/>
              <w:rPr>
                <w:color w:val="auto"/>
              </w:rPr>
            </w:pPr>
            <w:r>
              <w:rPr>
                <w:rFonts w:hint="eastAsia"/>
                <w:color w:val="auto"/>
              </w:rPr>
              <w:t>②当存在多种危险物质时，则按式（C.1）计算物质总量与其临界量比值（Q）：</w:t>
            </w:r>
          </w:p>
          <w:p w14:paraId="7C213E1D">
            <w:pPr>
              <w:pStyle w:val="51"/>
              <w:rPr>
                <w:color w:val="auto"/>
              </w:rPr>
            </w:pPr>
            <w:r>
              <w:rPr>
                <w:color w:val="auto"/>
                <w:lang w:bidi="ar"/>
              </w:rPr>
              <w:drawing>
                <wp:inline distT="0" distB="0" distL="114300" distR="114300">
                  <wp:extent cx="2466975" cy="542925"/>
                  <wp:effectExtent l="0" t="0" r="9525" b="9525"/>
                  <wp:docPr id="42" name="图片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4" descr="IMG_256"/>
                          <pic:cNvPicPr>
                            <a:picLocks noChangeAspect="1"/>
                          </pic:cNvPicPr>
                        </pic:nvPicPr>
                        <pic:blipFill>
                          <a:blip r:embed="rId26"/>
                          <a:stretch>
                            <a:fillRect/>
                          </a:stretch>
                        </pic:blipFill>
                        <pic:spPr>
                          <a:xfrm>
                            <a:off x="0" y="0"/>
                            <a:ext cx="2466975" cy="542925"/>
                          </a:xfrm>
                          <a:prstGeom prst="rect">
                            <a:avLst/>
                          </a:prstGeom>
                          <a:noFill/>
                          <a:ln w="9525">
                            <a:noFill/>
                          </a:ln>
                        </pic:spPr>
                      </pic:pic>
                    </a:graphicData>
                  </a:graphic>
                </wp:inline>
              </w:drawing>
            </w:r>
          </w:p>
          <w:p w14:paraId="2258CDCE">
            <w:pPr>
              <w:pStyle w:val="3"/>
              <w:ind w:firstLine="480"/>
              <w:rPr>
                <w:color w:val="auto"/>
              </w:rPr>
            </w:pPr>
            <w:r>
              <w:rPr>
                <w:rFonts w:hint="eastAsia"/>
                <w:color w:val="auto"/>
              </w:rPr>
              <w:t>式中：q</w:t>
            </w:r>
            <w:r>
              <w:rPr>
                <w:rFonts w:hint="eastAsia"/>
                <w:color w:val="auto"/>
                <w:vertAlign w:val="subscript"/>
              </w:rPr>
              <w:t>1</w:t>
            </w:r>
            <w:r>
              <w:rPr>
                <w:rFonts w:hint="eastAsia"/>
                <w:color w:val="auto"/>
              </w:rPr>
              <w:t>，q</w:t>
            </w:r>
            <w:r>
              <w:rPr>
                <w:rFonts w:hint="eastAsia"/>
                <w:color w:val="auto"/>
                <w:vertAlign w:val="subscript"/>
              </w:rPr>
              <w:t>2</w:t>
            </w:r>
            <w:r>
              <w:rPr>
                <w:rFonts w:hint="eastAsia"/>
                <w:color w:val="auto"/>
              </w:rPr>
              <w:t>，...，q</w:t>
            </w:r>
            <w:r>
              <w:rPr>
                <w:rFonts w:hint="eastAsia"/>
                <w:color w:val="auto"/>
                <w:vertAlign w:val="subscript"/>
              </w:rPr>
              <w:t>n</w:t>
            </w:r>
            <w:r>
              <w:rPr>
                <w:rFonts w:hint="eastAsia"/>
                <w:color w:val="auto"/>
              </w:rPr>
              <w:t>——每种危险物质的最大存在总量，t；</w:t>
            </w:r>
          </w:p>
          <w:p w14:paraId="43DC27A2">
            <w:pPr>
              <w:pStyle w:val="3"/>
              <w:ind w:firstLine="480"/>
              <w:rPr>
                <w:color w:val="auto"/>
              </w:rPr>
            </w:pPr>
            <w:r>
              <w:rPr>
                <w:rFonts w:hint="eastAsia"/>
                <w:color w:val="auto"/>
              </w:rPr>
              <w:t>Q</w:t>
            </w:r>
            <w:r>
              <w:rPr>
                <w:rFonts w:hint="eastAsia"/>
                <w:color w:val="auto"/>
                <w:vertAlign w:val="subscript"/>
              </w:rPr>
              <w:t>1</w:t>
            </w:r>
            <w:r>
              <w:rPr>
                <w:rFonts w:hint="eastAsia"/>
                <w:color w:val="auto"/>
              </w:rPr>
              <w:t>，Q</w:t>
            </w:r>
            <w:r>
              <w:rPr>
                <w:rFonts w:hint="eastAsia"/>
                <w:color w:val="auto"/>
                <w:vertAlign w:val="subscript"/>
              </w:rPr>
              <w:t>2</w:t>
            </w:r>
            <w:r>
              <w:rPr>
                <w:rFonts w:hint="eastAsia"/>
                <w:color w:val="auto"/>
              </w:rPr>
              <w:t>，...，Q</w:t>
            </w:r>
            <w:r>
              <w:rPr>
                <w:rFonts w:hint="eastAsia"/>
                <w:color w:val="auto"/>
                <w:vertAlign w:val="subscript"/>
              </w:rPr>
              <w:t>n</w:t>
            </w:r>
            <w:r>
              <w:rPr>
                <w:rFonts w:hint="eastAsia"/>
                <w:color w:val="auto"/>
              </w:rPr>
              <w:t>——每种危险物质的临界量，t。</w:t>
            </w:r>
          </w:p>
          <w:p w14:paraId="6FE95CD9">
            <w:pPr>
              <w:pStyle w:val="3"/>
              <w:ind w:firstLine="480"/>
              <w:rPr>
                <w:color w:val="auto"/>
              </w:rPr>
            </w:pPr>
            <w:r>
              <w:rPr>
                <w:rFonts w:hint="eastAsia"/>
                <w:color w:val="auto"/>
              </w:rPr>
              <w:t>当Q＜1时，该项目环境风险潜势为Ⅰ；</w:t>
            </w:r>
          </w:p>
          <w:p w14:paraId="669BD95B">
            <w:pPr>
              <w:pStyle w:val="3"/>
              <w:ind w:firstLine="480"/>
              <w:rPr>
                <w:color w:val="auto"/>
              </w:rPr>
            </w:pPr>
            <w:r>
              <w:rPr>
                <w:rFonts w:hint="eastAsia"/>
                <w:color w:val="auto"/>
              </w:rPr>
              <w:t>当Q≥1时，将Q值划分为：①1≤Q＜10；②10≤Q＜100；③Q≥100。</w:t>
            </w:r>
          </w:p>
          <w:p w14:paraId="67B2C50C">
            <w:pPr>
              <w:pStyle w:val="3"/>
              <w:ind w:firstLine="480"/>
              <w:rPr>
                <w:color w:val="auto"/>
              </w:rPr>
            </w:pPr>
            <w:r>
              <w:rPr>
                <w:rFonts w:hint="eastAsia"/>
                <w:color w:val="auto"/>
              </w:rPr>
              <w:t>针对企业的生产原料、燃料、辅助生产原料等，对照《建设项目环境风险评价技术导则》（HJ168-2018）中附录B筛选环境风险物质，本项目涉及的风险物质主要为危险废物。</w:t>
            </w:r>
          </w:p>
          <w:p w14:paraId="1D6E5D00">
            <w:pPr>
              <w:pStyle w:val="49"/>
              <w:rPr>
                <w:color w:val="auto"/>
              </w:rPr>
            </w:pPr>
            <w:bookmarkStart w:id="254" w:name="_Ref184219022"/>
            <w:r>
              <w:rPr>
                <w:rFonts w:hint="eastAsia"/>
                <w:color w:val="auto"/>
              </w:rPr>
              <w:t xml:space="preserve">表4- </w:t>
            </w:r>
            <w:r>
              <w:rPr>
                <w:color w:val="auto"/>
              </w:rPr>
              <w:t>21</w:t>
            </w:r>
            <w:r>
              <w:rPr>
                <w:rFonts w:hint="eastAsia"/>
                <w:color w:val="auto"/>
              </w:rPr>
              <w:t>：建设项目Q值确定表</w:t>
            </w:r>
            <w:bookmarkEnd w:id="254"/>
          </w:p>
          <w:tbl>
            <w:tblPr>
              <w:tblStyle w:val="5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1619"/>
              <w:gridCol w:w="1420"/>
              <w:gridCol w:w="1452"/>
              <w:gridCol w:w="1514"/>
              <w:gridCol w:w="1945"/>
            </w:tblGrid>
            <w:tr w14:paraId="446B61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67" w:hRule="atLeast"/>
                <w:jc w:val="center"/>
              </w:trPr>
              <w:tc>
                <w:tcPr>
                  <w:tcW w:w="1018" w:type="pct"/>
                  <w:tcBorders>
                    <w:top w:val="single" w:color="auto" w:sz="12" w:space="0"/>
                    <w:left w:val="nil"/>
                    <w:bottom w:val="single" w:color="auto" w:sz="12" w:space="0"/>
                    <w:right w:val="single" w:color="auto" w:sz="4" w:space="0"/>
                    <w:insideH w:val="single" w:sz="12" w:space="0"/>
                    <w:insideV w:val="single" w:sz="4" w:space="0"/>
                    <w:tl2br w:val="nil"/>
                    <w:tr2bl w:val="nil"/>
                  </w:tcBorders>
                  <w:vAlign w:val="center"/>
                </w:tcPr>
                <w:p w14:paraId="2DF278F5">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sz w:val="21"/>
                      <w:szCs w:val="21"/>
                      <w14:ligatures w14:val="standardContextual"/>
                    </w:rPr>
                  </w:pPr>
                  <w:r>
                    <w:rPr>
                      <w:rFonts w:hint="eastAsia" w:ascii="Times New Roman" w:hAnsi="Times New Roman" w:eastAsia="宋体" w:cs="Times New Roman"/>
                      <w:b/>
                      <w:i w:val="0"/>
                      <w:color w:val="auto"/>
                      <w:sz w:val="21"/>
                      <w:szCs w:val="21"/>
                      <w:lang w:bidi="ar"/>
                      <w14:ligatures w14:val="standardContextual"/>
                    </w:rPr>
                    <w:t>物质名称</w:t>
                  </w:r>
                </w:p>
              </w:tc>
              <w:tc>
                <w:tcPr>
                  <w:tcW w:w="893"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4A170C12">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sz w:val="21"/>
                      <w:szCs w:val="21"/>
                      <w14:ligatures w14:val="standardContextual"/>
                    </w:rPr>
                  </w:pPr>
                  <w:r>
                    <w:rPr>
                      <w:rFonts w:hint="eastAsia" w:ascii="Times New Roman" w:hAnsi="Times New Roman" w:eastAsia="宋体" w:cs="Times New Roman"/>
                      <w:b/>
                      <w:i w:val="0"/>
                      <w:color w:val="auto"/>
                      <w:sz w:val="21"/>
                      <w:szCs w:val="21"/>
                      <w:lang w:bidi="ar"/>
                      <w14:ligatures w14:val="standardContextual"/>
                    </w:rPr>
                    <w:t>最大存在总量qn/t</w:t>
                  </w:r>
                </w:p>
              </w:tc>
              <w:tc>
                <w:tcPr>
                  <w:tcW w:w="913"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7136E9CD">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sz w:val="21"/>
                      <w:szCs w:val="21"/>
                      <w14:ligatures w14:val="standardContextual"/>
                    </w:rPr>
                  </w:pPr>
                  <w:r>
                    <w:rPr>
                      <w:rFonts w:hint="eastAsia" w:ascii="Times New Roman" w:hAnsi="Times New Roman" w:eastAsia="宋体" w:cs="Times New Roman"/>
                      <w:b/>
                      <w:i w:val="0"/>
                      <w:color w:val="auto"/>
                      <w:sz w:val="21"/>
                      <w:szCs w:val="21"/>
                      <w:lang w:bidi="ar"/>
                      <w14:ligatures w14:val="standardContextual"/>
                    </w:rPr>
                    <w:t>临界量Qn/t</w:t>
                  </w:r>
                </w:p>
              </w:tc>
              <w:tc>
                <w:tcPr>
                  <w:tcW w:w="952"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62B44073">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sz w:val="21"/>
                      <w:szCs w:val="21"/>
                      <w14:ligatures w14:val="standardContextual"/>
                    </w:rPr>
                  </w:pPr>
                  <w:r>
                    <w:rPr>
                      <w:rFonts w:hint="eastAsia" w:ascii="Times New Roman" w:hAnsi="Times New Roman" w:eastAsia="宋体" w:cs="Times New Roman"/>
                      <w:b/>
                      <w:i w:val="0"/>
                      <w:color w:val="auto"/>
                      <w:sz w:val="21"/>
                      <w:szCs w:val="21"/>
                      <w:lang w:bidi="ar"/>
                      <w14:ligatures w14:val="standardContextual"/>
                    </w:rPr>
                    <w:t>该种危险物质Q值</w:t>
                  </w:r>
                </w:p>
              </w:tc>
              <w:tc>
                <w:tcPr>
                  <w:tcW w:w="1223" w:type="pct"/>
                  <w:tcBorders>
                    <w:top w:val="single" w:color="auto" w:sz="12" w:space="0"/>
                    <w:bottom w:val="single" w:color="auto" w:sz="12" w:space="0"/>
                    <w:right w:val="nil"/>
                    <w:insideH w:val="single" w:sz="12" w:space="0"/>
                    <w:insideV w:val="single" w:sz="4" w:space="0"/>
                    <w:tl2br w:val="nil"/>
                    <w:tr2bl w:val="nil"/>
                  </w:tcBorders>
                  <w:vAlign w:val="center"/>
                </w:tcPr>
                <w:p w14:paraId="38197A08">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sz w:val="21"/>
                      <w:szCs w:val="21"/>
                      <w14:ligatures w14:val="standardContextual"/>
                    </w:rPr>
                  </w:pPr>
                  <w:r>
                    <w:rPr>
                      <w:rFonts w:hint="eastAsia" w:ascii="Times New Roman" w:hAnsi="Times New Roman" w:eastAsia="宋体" w:cs="Times New Roman"/>
                      <w:b/>
                      <w:i w:val="0"/>
                      <w:color w:val="auto"/>
                      <w:sz w:val="21"/>
                      <w:szCs w:val="21"/>
                      <w:lang w:bidi="ar"/>
                      <w14:ligatures w14:val="standardContextual"/>
                    </w:rPr>
                    <w:t>合计</w:t>
                  </w:r>
                </w:p>
              </w:tc>
            </w:tr>
            <w:tr w14:paraId="5078A7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77" w:hRule="atLeast"/>
                <w:jc w:val="center"/>
              </w:trPr>
              <w:tc>
                <w:tcPr>
                  <w:tcW w:w="1018" w:type="pct"/>
                  <w:vAlign w:val="center"/>
                </w:tcPr>
                <w:p w14:paraId="667D72CA">
                  <w:pPr>
                    <w:widowControl w:val="0"/>
                    <w:overflowPunct w:val="0"/>
                    <w:autoSpaceDE w:val="0"/>
                    <w:autoSpaceDN w:val="0"/>
                    <w:snapToGrid w:val="0"/>
                    <w:jc w:val="center"/>
                    <w:rPr>
                      <w:color w:val="auto"/>
                      <w14:ligatures w14:val="standardContextual"/>
                    </w:rPr>
                  </w:pPr>
                  <w:bookmarkStart w:id="255" w:name="_Hlk192169491"/>
                  <w:r>
                    <w:rPr>
                      <w:rFonts w:hint="eastAsia"/>
                      <w:color w:val="auto"/>
                      <w14:ligatures w14:val="standardContextual"/>
                    </w:rPr>
                    <w:t>危险废物</w:t>
                  </w:r>
                </w:p>
              </w:tc>
              <w:tc>
                <w:tcPr>
                  <w:tcW w:w="893" w:type="pct"/>
                  <w:vAlign w:val="center"/>
                </w:tcPr>
                <w:p w14:paraId="75A99A3A">
                  <w:pPr>
                    <w:widowControl w:val="0"/>
                    <w:overflowPunct w:val="0"/>
                    <w:autoSpaceDE w:val="0"/>
                    <w:autoSpaceDN w:val="0"/>
                    <w:snapToGrid w:val="0"/>
                    <w:jc w:val="center"/>
                    <w:rPr>
                      <w:color w:val="auto"/>
                      <w:lang w:bidi="ar"/>
                      <w14:ligatures w14:val="standardContextual"/>
                    </w:rPr>
                  </w:pPr>
                  <w:r>
                    <w:rPr>
                      <w:rFonts w:hint="eastAsia"/>
                      <w:color w:val="auto"/>
                      <w:lang w:bidi="ar"/>
                      <w14:ligatures w14:val="standardContextual"/>
                    </w:rPr>
                    <w:t>0.06</w:t>
                  </w:r>
                </w:p>
              </w:tc>
              <w:tc>
                <w:tcPr>
                  <w:tcW w:w="913" w:type="pct"/>
                  <w:vAlign w:val="center"/>
                </w:tcPr>
                <w:p w14:paraId="068EA407">
                  <w:pPr>
                    <w:widowControl w:val="0"/>
                    <w:overflowPunct w:val="0"/>
                    <w:autoSpaceDE w:val="0"/>
                    <w:autoSpaceDN w:val="0"/>
                    <w:snapToGrid w:val="0"/>
                    <w:jc w:val="center"/>
                    <w:rPr>
                      <w:color w:val="auto"/>
                      <w:lang w:bidi="ar"/>
                      <w14:ligatures w14:val="standardContextual"/>
                    </w:rPr>
                  </w:pPr>
                  <w:r>
                    <w:rPr>
                      <w:rFonts w:hint="eastAsia"/>
                      <w:color w:val="auto"/>
                      <w:lang w:bidi="ar"/>
                      <w14:ligatures w14:val="standardContextual"/>
                    </w:rPr>
                    <w:t>50</w:t>
                  </w:r>
                </w:p>
              </w:tc>
              <w:tc>
                <w:tcPr>
                  <w:tcW w:w="952" w:type="pct"/>
                  <w:vAlign w:val="top"/>
                </w:tcPr>
                <w:p w14:paraId="293744E3">
                  <w:pPr>
                    <w:widowControl w:val="0"/>
                    <w:overflowPunct w:val="0"/>
                    <w:autoSpaceDE w:val="0"/>
                    <w:autoSpaceDN w:val="0"/>
                    <w:snapToGrid w:val="0"/>
                    <w:jc w:val="center"/>
                    <w:rPr>
                      <w:color w:val="auto"/>
                      <w:lang w:bidi="ar"/>
                      <w14:ligatures w14:val="standardContextual"/>
                    </w:rPr>
                  </w:pPr>
                  <w:bookmarkStart w:id="256" w:name="OLE_LINK43"/>
                  <w:r>
                    <w:rPr>
                      <w:color w:val="auto"/>
                      <w14:ligatures w14:val="standardContextual"/>
                    </w:rPr>
                    <w:t>0.0</w:t>
                  </w:r>
                  <w:r>
                    <w:rPr>
                      <w:rFonts w:hint="eastAsia"/>
                      <w:color w:val="auto"/>
                      <w14:ligatures w14:val="standardContextual"/>
                    </w:rPr>
                    <w:t>01</w:t>
                  </w:r>
                  <w:bookmarkEnd w:id="256"/>
                </w:p>
              </w:tc>
              <w:tc>
                <w:tcPr>
                  <w:tcW w:w="1223" w:type="pct"/>
                  <w:vAlign w:val="center"/>
                </w:tcPr>
                <w:p w14:paraId="485A6F9D">
                  <w:pPr>
                    <w:widowControl w:val="0"/>
                    <w:overflowPunct w:val="0"/>
                    <w:autoSpaceDE w:val="0"/>
                    <w:autoSpaceDN w:val="0"/>
                    <w:snapToGrid w:val="0"/>
                    <w:jc w:val="center"/>
                    <w:rPr>
                      <w:color w:val="auto"/>
                      <w:lang w:bidi="ar"/>
                      <w14:ligatures w14:val="standardContextual"/>
                    </w:rPr>
                  </w:pPr>
                  <w:r>
                    <w:rPr>
                      <w:color w:val="auto"/>
                      <w14:ligatures w14:val="standardContextual"/>
                    </w:rPr>
                    <w:t>0.0</w:t>
                  </w:r>
                  <w:r>
                    <w:rPr>
                      <w:rFonts w:hint="eastAsia"/>
                      <w:color w:val="auto"/>
                      <w14:ligatures w14:val="standardContextual"/>
                    </w:rPr>
                    <w:t>01</w:t>
                  </w:r>
                </w:p>
              </w:tc>
            </w:tr>
            <w:bookmarkEnd w:id="255"/>
          </w:tbl>
          <w:p w14:paraId="62FBB98B">
            <w:pPr>
              <w:pStyle w:val="3"/>
              <w:ind w:firstLine="480"/>
              <w:rPr>
                <w:color w:val="auto"/>
              </w:rPr>
            </w:pPr>
            <w:r>
              <w:rPr>
                <w:rFonts w:hint="eastAsia"/>
                <w:color w:val="auto"/>
              </w:rPr>
              <w:t>由上表可知，本项目Q值＜1，本项目环境风险潜势划分为Ⅰ级，环境风险评价仅做简单分析即可。</w:t>
            </w:r>
          </w:p>
          <w:p w14:paraId="71E4A7F2">
            <w:pPr>
              <w:pStyle w:val="3"/>
              <w:ind w:firstLine="482"/>
              <w:rPr>
                <w:b/>
                <w:bCs/>
                <w:color w:val="auto"/>
              </w:rPr>
            </w:pPr>
            <w:r>
              <w:rPr>
                <w:rFonts w:hint="eastAsia"/>
                <w:b/>
                <w:bCs/>
                <w:color w:val="auto"/>
              </w:rPr>
              <w:t>3、可能影响途径</w:t>
            </w:r>
          </w:p>
          <w:p w14:paraId="6C0BE5AC">
            <w:pPr>
              <w:pStyle w:val="3"/>
              <w:ind w:firstLine="480"/>
              <w:rPr>
                <w:color w:val="auto"/>
              </w:rPr>
            </w:pPr>
            <w:r>
              <w:rPr>
                <w:rFonts w:hint="eastAsia"/>
                <w:color w:val="auto"/>
              </w:rPr>
              <w:t>风险事故根据有毒有害物质的发生起因，分为火灾、爆炸和泄露三种类型。本项目不考虑自然灾害如地震、洪水、台风等引起的事故风险。具体表现为以下几种：</w:t>
            </w:r>
            <w:bookmarkStart w:id="257" w:name="OLE_LINK278"/>
            <w:r>
              <w:rPr>
                <w:rFonts w:hint="eastAsia"/>
                <w:color w:val="auto"/>
              </w:rPr>
              <w:t>生物质成型颗粒</w:t>
            </w:r>
            <w:bookmarkEnd w:id="257"/>
            <w:r>
              <w:rPr>
                <w:rFonts w:hint="eastAsia"/>
                <w:color w:val="auto"/>
              </w:rPr>
              <w:t>发生火灾，产生的火灾及火灾伴生/次生物质会有渗入地下土壤的风险，造成水体、土壤污染。</w:t>
            </w:r>
          </w:p>
          <w:p w14:paraId="5E281073">
            <w:pPr>
              <w:pStyle w:val="49"/>
              <w:rPr>
                <w:color w:val="auto"/>
              </w:rPr>
            </w:pPr>
            <w:bookmarkStart w:id="258" w:name="_Ref176905772"/>
            <w:r>
              <w:rPr>
                <w:rFonts w:hint="eastAsia"/>
                <w:color w:val="auto"/>
              </w:rPr>
              <w:t xml:space="preserve">表4- </w:t>
            </w:r>
            <w:r>
              <w:rPr>
                <w:color w:val="auto"/>
              </w:rPr>
              <w:t>17</w:t>
            </w:r>
            <w:r>
              <w:rPr>
                <w:rFonts w:hint="eastAsia"/>
                <w:color w:val="auto"/>
              </w:rPr>
              <w:t>：风险影响途径识别表</w:t>
            </w:r>
            <w:bookmarkEnd w:id="258"/>
          </w:p>
          <w:tbl>
            <w:tblPr>
              <w:tblStyle w:val="5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366"/>
              <w:gridCol w:w="1227"/>
              <w:gridCol w:w="1024"/>
              <w:gridCol w:w="820"/>
              <w:gridCol w:w="1442"/>
              <w:gridCol w:w="1514"/>
              <w:gridCol w:w="647"/>
              <w:gridCol w:w="903"/>
            </w:tblGrid>
            <w:tr w14:paraId="3F1AD8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66" w:type="dxa"/>
                  <w:tcBorders>
                    <w:top w:val="single" w:color="auto" w:sz="12" w:space="0"/>
                    <w:left w:val="nil"/>
                    <w:bottom w:val="single" w:color="auto" w:sz="12" w:space="0"/>
                    <w:right w:val="single" w:color="auto" w:sz="4" w:space="0"/>
                    <w:insideH w:val="single" w:sz="12" w:space="0"/>
                    <w:insideV w:val="single" w:sz="4" w:space="0"/>
                    <w:tl2br w:val="nil"/>
                    <w:tr2bl w:val="nil"/>
                  </w:tcBorders>
                  <w:vAlign w:val="center"/>
                </w:tcPr>
                <w:p w14:paraId="7A5EAC0E">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sz w:val="21"/>
                      <w:szCs w:val="21"/>
                      <w14:ligatures w14:val="standardContextual"/>
                    </w:rPr>
                  </w:pPr>
                  <w:r>
                    <w:rPr>
                      <w:rFonts w:hint="eastAsia" w:ascii="Times New Roman" w:hAnsi="Times New Roman" w:eastAsia="宋体" w:cs="Times New Roman"/>
                      <w:b/>
                      <w:i w:val="0"/>
                      <w:color w:val="auto"/>
                      <w:sz w:val="21"/>
                      <w:szCs w:val="21"/>
                      <w14:ligatures w14:val="standardContextual"/>
                    </w:rPr>
                    <w:t>序号</w:t>
                  </w:r>
                </w:p>
              </w:tc>
              <w:tc>
                <w:tcPr>
                  <w:tcW w:w="1227" w:type="dxa"/>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1CFB8E19">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sz w:val="21"/>
                      <w:szCs w:val="21"/>
                      <w14:ligatures w14:val="standardContextual"/>
                    </w:rPr>
                  </w:pPr>
                  <w:r>
                    <w:rPr>
                      <w:rFonts w:hint="eastAsia" w:ascii="Times New Roman" w:hAnsi="Times New Roman" w:eastAsia="宋体" w:cs="Times New Roman"/>
                      <w:b/>
                      <w:i w:val="0"/>
                      <w:color w:val="auto"/>
                      <w:sz w:val="21"/>
                      <w:szCs w:val="21"/>
                      <w14:ligatures w14:val="standardContextual"/>
                    </w:rPr>
                    <w:t>危险单元</w:t>
                  </w:r>
                </w:p>
              </w:tc>
              <w:tc>
                <w:tcPr>
                  <w:tcW w:w="1024" w:type="dxa"/>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7987160B">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sz w:val="21"/>
                      <w:szCs w:val="21"/>
                      <w14:ligatures w14:val="standardContextual"/>
                    </w:rPr>
                  </w:pPr>
                  <w:r>
                    <w:rPr>
                      <w:rFonts w:hint="eastAsia" w:ascii="Times New Roman" w:hAnsi="Times New Roman" w:eastAsia="宋体" w:cs="Times New Roman"/>
                      <w:b/>
                      <w:i w:val="0"/>
                      <w:color w:val="auto"/>
                      <w:sz w:val="21"/>
                      <w:szCs w:val="21"/>
                      <w14:ligatures w14:val="standardContextual"/>
                    </w:rPr>
                    <w:t>风险源</w:t>
                  </w:r>
                </w:p>
              </w:tc>
              <w:tc>
                <w:tcPr>
                  <w:tcW w:w="820" w:type="dxa"/>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4E659058">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sz w:val="21"/>
                      <w:szCs w:val="21"/>
                      <w14:ligatures w14:val="standardContextual"/>
                    </w:rPr>
                  </w:pPr>
                  <w:r>
                    <w:rPr>
                      <w:rFonts w:hint="eastAsia" w:ascii="Times New Roman" w:hAnsi="Times New Roman" w:eastAsia="宋体" w:cs="Times New Roman"/>
                      <w:b/>
                      <w:i w:val="0"/>
                      <w:color w:val="auto"/>
                      <w:sz w:val="21"/>
                      <w:szCs w:val="21"/>
                      <w14:ligatures w14:val="standardContextual"/>
                    </w:rPr>
                    <w:t>主要危险物质</w:t>
                  </w:r>
                </w:p>
              </w:tc>
              <w:tc>
                <w:tcPr>
                  <w:tcW w:w="1442" w:type="dxa"/>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295F4C9F">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sz w:val="21"/>
                      <w:szCs w:val="21"/>
                      <w14:ligatures w14:val="standardContextual"/>
                    </w:rPr>
                  </w:pPr>
                  <w:r>
                    <w:rPr>
                      <w:rFonts w:hint="eastAsia" w:ascii="Times New Roman" w:hAnsi="Times New Roman" w:eastAsia="宋体" w:cs="Times New Roman"/>
                      <w:b/>
                      <w:i w:val="0"/>
                      <w:color w:val="auto"/>
                      <w:sz w:val="21"/>
                      <w:szCs w:val="21"/>
                      <w14:ligatures w14:val="standardContextual"/>
                    </w:rPr>
                    <w:t>环境风险类型</w:t>
                  </w:r>
                </w:p>
              </w:tc>
              <w:tc>
                <w:tcPr>
                  <w:tcW w:w="1514" w:type="dxa"/>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480B42A2">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sz w:val="21"/>
                      <w:szCs w:val="21"/>
                      <w14:ligatures w14:val="standardContextual"/>
                    </w:rPr>
                  </w:pPr>
                  <w:r>
                    <w:rPr>
                      <w:rFonts w:hint="eastAsia" w:ascii="Times New Roman" w:hAnsi="Times New Roman" w:eastAsia="宋体" w:cs="Times New Roman"/>
                      <w:b/>
                      <w:i w:val="0"/>
                      <w:color w:val="auto"/>
                      <w:sz w:val="21"/>
                      <w:szCs w:val="21"/>
                      <w14:ligatures w14:val="standardContextual"/>
                    </w:rPr>
                    <w:t>影响途径</w:t>
                  </w:r>
                </w:p>
              </w:tc>
              <w:tc>
                <w:tcPr>
                  <w:tcW w:w="647" w:type="dxa"/>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730816A4">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sz w:val="21"/>
                      <w:szCs w:val="21"/>
                      <w14:ligatures w14:val="standardContextual"/>
                    </w:rPr>
                  </w:pPr>
                  <w:r>
                    <w:rPr>
                      <w:rFonts w:hint="eastAsia" w:ascii="Times New Roman" w:hAnsi="Times New Roman" w:eastAsia="宋体" w:cs="Times New Roman"/>
                      <w:b/>
                      <w:i w:val="0"/>
                      <w:color w:val="auto"/>
                      <w:sz w:val="21"/>
                      <w:szCs w:val="21"/>
                      <w14:ligatures w14:val="standardContextual"/>
                    </w:rPr>
                    <w:t>伴生/次生污染物</w:t>
                  </w:r>
                </w:p>
              </w:tc>
              <w:tc>
                <w:tcPr>
                  <w:tcW w:w="903" w:type="dxa"/>
                  <w:tcBorders>
                    <w:top w:val="single" w:color="auto" w:sz="12" w:space="0"/>
                    <w:bottom w:val="single" w:color="auto" w:sz="12" w:space="0"/>
                    <w:right w:val="nil"/>
                    <w:insideH w:val="single" w:sz="12" w:space="0"/>
                    <w:insideV w:val="single" w:sz="4" w:space="0"/>
                    <w:tl2br w:val="nil"/>
                    <w:tr2bl w:val="nil"/>
                  </w:tcBorders>
                  <w:vAlign w:val="center"/>
                </w:tcPr>
                <w:p w14:paraId="185990F5">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sz w:val="21"/>
                      <w:szCs w:val="21"/>
                      <w14:ligatures w14:val="standardContextual"/>
                    </w:rPr>
                  </w:pPr>
                  <w:r>
                    <w:rPr>
                      <w:rFonts w:hint="eastAsia" w:ascii="Times New Roman" w:hAnsi="Times New Roman" w:eastAsia="宋体" w:cs="Times New Roman"/>
                      <w:b/>
                      <w:i w:val="0"/>
                      <w:color w:val="auto"/>
                      <w:sz w:val="21"/>
                      <w:szCs w:val="21"/>
                      <w14:ligatures w14:val="standardContextual"/>
                    </w:rPr>
                    <w:t>可能影响的环境敏感目标</w:t>
                  </w:r>
                </w:p>
              </w:tc>
            </w:tr>
            <w:tr w14:paraId="174E2E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66" w:type="dxa"/>
                  <w:vAlign w:val="center"/>
                </w:tcPr>
                <w:p w14:paraId="0B188229">
                  <w:pPr>
                    <w:widowControl w:val="0"/>
                    <w:overflowPunct w:val="0"/>
                    <w:autoSpaceDE w:val="0"/>
                    <w:autoSpaceDN w:val="0"/>
                    <w:snapToGrid w:val="0"/>
                    <w:jc w:val="center"/>
                    <w:rPr>
                      <w:color w:val="auto"/>
                      <w14:ligatures w14:val="standardContextual"/>
                    </w:rPr>
                  </w:pPr>
                  <w:r>
                    <w:rPr>
                      <w:rFonts w:hint="eastAsia"/>
                      <w:color w:val="auto"/>
                      <w14:ligatures w14:val="standardContextual"/>
                    </w:rPr>
                    <w:t>1</w:t>
                  </w:r>
                </w:p>
              </w:tc>
              <w:tc>
                <w:tcPr>
                  <w:tcW w:w="1227" w:type="dxa"/>
                  <w:vAlign w:val="center"/>
                </w:tcPr>
                <w:p w14:paraId="464607E1">
                  <w:pPr>
                    <w:widowControl w:val="0"/>
                    <w:overflowPunct w:val="0"/>
                    <w:autoSpaceDE w:val="0"/>
                    <w:autoSpaceDN w:val="0"/>
                    <w:snapToGrid w:val="0"/>
                    <w:jc w:val="center"/>
                    <w:rPr>
                      <w:color w:val="auto"/>
                      <w14:ligatures w14:val="standardContextual"/>
                    </w:rPr>
                  </w:pPr>
                  <w:bookmarkStart w:id="259" w:name="OLE_LINK280"/>
                  <w:r>
                    <w:rPr>
                      <w:rFonts w:hint="eastAsia"/>
                      <w:color w:val="auto"/>
                      <w14:ligatures w14:val="standardContextual"/>
                    </w:rPr>
                    <w:t>锅炉房</w:t>
                  </w:r>
                  <w:bookmarkEnd w:id="259"/>
                </w:p>
              </w:tc>
              <w:tc>
                <w:tcPr>
                  <w:tcW w:w="1024" w:type="dxa"/>
                  <w:vAlign w:val="center"/>
                </w:tcPr>
                <w:p w14:paraId="07A92A4B">
                  <w:pPr>
                    <w:widowControl w:val="0"/>
                    <w:overflowPunct w:val="0"/>
                    <w:autoSpaceDE w:val="0"/>
                    <w:autoSpaceDN w:val="0"/>
                    <w:snapToGrid w:val="0"/>
                    <w:jc w:val="center"/>
                    <w:rPr>
                      <w:color w:val="auto"/>
                      <w14:ligatures w14:val="standardContextual"/>
                    </w:rPr>
                  </w:pPr>
                  <w:r>
                    <w:rPr>
                      <w:rFonts w:hint="eastAsia"/>
                      <w:color w:val="auto"/>
                      <w14:ligatures w14:val="standardContextual"/>
                    </w:rPr>
                    <w:t>料仓</w:t>
                  </w:r>
                </w:p>
              </w:tc>
              <w:tc>
                <w:tcPr>
                  <w:tcW w:w="820" w:type="dxa"/>
                  <w:vAlign w:val="center"/>
                </w:tcPr>
                <w:p w14:paraId="7FC833C4">
                  <w:pPr>
                    <w:widowControl w:val="0"/>
                    <w:overflowPunct w:val="0"/>
                    <w:autoSpaceDE w:val="0"/>
                    <w:autoSpaceDN w:val="0"/>
                    <w:snapToGrid w:val="0"/>
                    <w:jc w:val="center"/>
                    <w:rPr>
                      <w:color w:val="auto"/>
                      <w14:ligatures w14:val="standardContextual"/>
                    </w:rPr>
                  </w:pPr>
                  <w:r>
                    <w:rPr>
                      <w:rFonts w:hint="eastAsia"/>
                      <w:color w:val="auto"/>
                      <w14:ligatures w14:val="standardContextual"/>
                    </w:rPr>
                    <w:t>生物质成型颗粒</w:t>
                  </w:r>
                </w:p>
              </w:tc>
              <w:tc>
                <w:tcPr>
                  <w:tcW w:w="1442" w:type="dxa"/>
                  <w:vAlign w:val="center"/>
                </w:tcPr>
                <w:p w14:paraId="3E76F312">
                  <w:pPr>
                    <w:widowControl w:val="0"/>
                    <w:overflowPunct w:val="0"/>
                    <w:autoSpaceDE w:val="0"/>
                    <w:autoSpaceDN w:val="0"/>
                    <w:snapToGrid w:val="0"/>
                    <w:jc w:val="center"/>
                    <w:rPr>
                      <w:color w:val="auto"/>
                      <w14:ligatures w14:val="standardContextual"/>
                    </w:rPr>
                  </w:pPr>
                  <w:r>
                    <w:rPr>
                      <w:rFonts w:hint="eastAsia"/>
                      <w:color w:val="auto"/>
                      <w14:ligatures w14:val="standardContextual"/>
                    </w:rPr>
                    <w:t>火灾</w:t>
                  </w:r>
                </w:p>
              </w:tc>
              <w:tc>
                <w:tcPr>
                  <w:tcW w:w="1514" w:type="dxa"/>
                  <w:vAlign w:val="center"/>
                </w:tcPr>
                <w:p w14:paraId="7457BF98">
                  <w:pPr>
                    <w:widowControl w:val="0"/>
                    <w:overflowPunct w:val="0"/>
                    <w:autoSpaceDE w:val="0"/>
                    <w:autoSpaceDN w:val="0"/>
                    <w:snapToGrid w:val="0"/>
                    <w:jc w:val="center"/>
                    <w:rPr>
                      <w:color w:val="auto"/>
                      <w14:ligatures w14:val="standardContextual"/>
                    </w:rPr>
                  </w:pPr>
                  <w:r>
                    <w:rPr>
                      <w:rFonts w:hint="eastAsia"/>
                      <w:color w:val="auto"/>
                      <w14:ligatures w14:val="standardContextual"/>
                    </w:rPr>
                    <w:t>发生火灾，产生的废气影响大气环境</w:t>
                  </w:r>
                </w:p>
              </w:tc>
              <w:tc>
                <w:tcPr>
                  <w:tcW w:w="647" w:type="dxa"/>
                  <w:vAlign w:val="center"/>
                </w:tcPr>
                <w:p w14:paraId="655E240D">
                  <w:pPr>
                    <w:widowControl w:val="0"/>
                    <w:overflowPunct w:val="0"/>
                    <w:autoSpaceDE w:val="0"/>
                    <w:autoSpaceDN w:val="0"/>
                    <w:snapToGrid w:val="0"/>
                    <w:jc w:val="center"/>
                    <w:rPr>
                      <w:color w:val="auto"/>
                      <w14:ligatures w14:val="standardContextual"/>
                    </w:rPr>
                  </w:pPr>
                  <w:r>
                    <w:rPr>
                      <w:rFonts w:hint="eastAsia"/>
                      <w:color w:val="auto"/>
                      <w14:ligatures w14:val="standardContextual"/>
                    </w:rPr>
                    <w:t>CO</w:t>
                  </w:r>
                  <w:bookmarkStart w:id="260" w:name="OLE_LINK134"/>
                  <w:r>
                    <w:rPr>
                      <w:rFonts w:hint="eastAsia"/>
                      <w:color w:val="auto"/>
                      <w14:ligatures w14:val="standardContextual"/>
                    </w:rPr>
                    <w:t>、</w:t>
                  </w:r>
                  <w:bookmarkStart w:id="261" w:name="OLE_LINK281"/>
                  <w:r>
                    <w:rPr>
                      <w:rFonts w:hint="eastAsia"/>
                      <w:color w:val="auto"/>
                      <w14:ligatures w14:val="standardContextual"/>
                    </w:rPr>
                    <w:t>NOx</w:t>
                  </w:r>
                  <w:bookmarkEnd w:id="260"/>
                  <w:bookmarkEnd w:id="261"/>
                </w:p>
              </w:tc>
              <w:tc>
                <w:tcPr>
                  <w:tcW w:w="903" w:type="dxa"/>
                  <w:vAlign w:val="center"/>
                </w:tcPr>
                <w:p w14:paraId="6799EE0C">
                  <w:pPr>
                    <w:widowControl w:val="0"/>
                    <w:overflowPunct w:val="0"/>
                    <w:autoSpaceDE w:val="0"/>
                    <w:autoSpaceDN w:val="0"/>
                    <w:snapToGrid w:val="0"/>
                    <w:jc w:val="center"/>
                    <w:rPr>
                      <w:color w:val="auto"/>
                      <w14:ligatures w14:val="standardContextual"/>
                    </w:rPr>
                  </w:pPr>
                  <w:r>
                    <w:rPr>
                      <w:rFonts w:hint="eastAsia"/>
                      <w:color w:val="auto"/>
                      <w14:ligatures w14:val="standardContextual"/>
                    </w:rPr>
                    <w:t>大气环境</w:t>
                  </w:r>
                </w:p>
              </w:tc>
            </w:tr>
            <w:tr w14:paraId="2436C3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66" w:type="dxa"/>
                  <w:vAlign w:val="center"/>
                </w:tcPr>
                <w:p w14:paraId="7D521AB9">
                  <w:pPr>
                    <w:widowControl w:val="0"/>
                    <w:overflowPunct w:val="0"/>
                    <w:autoSpaceDE w:val="0"/>
                    <w:autoSpaceDN w:val="0"/>
                    <w:snapToGrid w:val="0"/>
                    <w:jc w:val="center"/>
                    <w:rPr>
                      <w:color w:val="auto"/>
                      <w14:ligatures w14:val="standardContextual"/>
                    </w:rPr>
                  </w:pPr>
                  <w:r>
                    <w:rPr>
                      <w:rFonts w:hint="eastAsia"/>
                      <w:color w:val="auto"/>
                      <w14:ligatures w14:val="standardContextual"/>
                    </w:rPr>
                    <w:t>2</w:t>
                  </w:r>
                </w:p>
              </w:tc>
              <w:tc>
                <w:tcPr>
                  <w:tcW w:w="1227" w:type="dxa"/>
                  <w:vAlign w:val="center"/>
                </w:tcPr>
                <w:p w14:paraId="51D8342D">
                  <w:pPr>
                    <w:widowControl w:val="0"/>
                    <w:overflowPunct w:val="0"/>
                    <w:autoSpaceDE w:val="0"/>
                    <w:autoSpaceDN w:val="0"/>
                    <w:snapToGrid w:val="0"/>
                    <w:jc w:val="center"/>
                    <w:rPr>
                      <w:color w:val="auto"/>
                      <w14:ligatures w14:val="standardContextual"/>
                    </w:rPr>
                  </w:pPr>
                  <w:bookmarkStart w:id="262" w:name="OLE_LINK125"/>
                  <w:r>
                    <w:rPr>
                      <w:rFonts w:hint="eastAsia"/>
                      <w:color w:val="auto"/>
                      <w14:ligatures w14:val="standardContextual"/>
                    </w:rPr>
                    <w:t>锅炉房</w:t>
                  </w:r>
                  <w:bookmarkEnd w:id="262"/>
                </w:p>
              </w:tc>
              <w:tc>
                <w:tcPr>
                  <w:tcW w:w="1024" w:type="dxa"/>
                  <w:vAlign w:val="center"/>
                </w:tcPr>
                <w:p w14:paraId="6E568939">
                  <w:pPr>
                    <w:widowControl w:val="0"/>
                    <w:overflowPunct w:val="0"/>
                    <w:autoSpaceDE w:val="0"/>
                    <w:autoSpaceDN w:val="0"/>
                    <w:snapToGrid w:val="0"/>
                    <w:jc w:val="center"/>
                    <w:rPr>
                      <w:color w:val="auto"/>
                      <w14:ligatures w14:val="standardContextual"/>
                    </w:rPr>
                  </w:pPr>
                  <w:r>
                    <w:rPr>
                      <w:rFonts w:hint="eastAsia"/>
                      <w:color w:val="auto"/>
                      <w14:ligatures w14:val="standardContextual"/>
                    </w:rPr>
                    <w:t>废气处理设施</w:t>
                  </w:r>
                </w:p>
              </w:tc>
              <w:tc>
                <w:tcPr>
                  <w:tcW w:w="820" w:type="dxa"/>
                  <w:vAlign w:val="center"/>
                </w:tcPr>
                <w:p w14:paraId="08DB389C">
                  <w:pPr>
                    <w:widowControl w:val="0"/>
                    <w:overflowPunct w:val="0"/>
                    <w:autoSpaceDE w:val="0"/>
                    <w:autoSpaceDN w:val="0"/>
                    <w:snapToGrid w:val="0"/>
                    <w:jc w:val="center"/>
                    <w:rPr>
                      <w:color w:val="auto"/>
                      <w14:ligatures w14:val="standardContextual"/>
                    </w:rPr>
                  </w:pPr>
                  <w:r>
                    <w:rPr>
                      <w:rFonts w:hint="eastAsia"/>
                      <w:color w:val="auto"/>
                      <w14:ligatures w14:val="standardContextual"/>
                    </w:rPr>
                    <w:t>颗粒物、SO</w:t>
                  </w:r>
                  <w:r>
                    <w:rPr>
                      <w:rFonts w:hint="eastAsia"/>
                      <w:color w:val="auto"/>
                      <w:vertAlign w:val="subscript"/>
                      <w14:ligatures w14:val="standardContextual"/>
                    </w:rPr>
                    <w:t>2</w:t>
                  </w:r>
                  <w:r>
                    <w:rPr>
                      <w:rFonts w:hint="eastAsia"/>
                      <w:color w:val="auto"/>
                      <w14:ligatures w14:val="standardContextual"/>
                    </w:rPr>
                    <w:t>、NOx</w:t>
                  </w:r>
                </w:p>
              </w:tc>
              <w:tc>
                <w:tcPr>
                  <w:tcW w:w="1442" w:type="dxa"/>
                  <w:vAlign w:val="center"/>
                </w:tcPr>
                <w:p w14:paraId="5D177789">
                  <w:pPr>
                    <w:widowControl w:val="0"/>
                    <w:overflowPunct w:val="0"/>
                    <w:autoSpaceDE w:val="0"/>
                    <w:autoSpaceDN w:val="0"/>
                    <w:snapToGrid w:val="0"/>
                    <w:jc w:val="center"/>
                    <w:rPr>
                      <w:color w:val="auto"/>
                      <w14:ligatures w14:val="standardContextual"/>
                    </w:rPr>
                  </w:pPr>
                  <w:r>
                    <w:rPr>
                      <w:rFonts w:hint="eastAsia"/>
                      <w:color w:val="auto"/>
                      <w14:ligatures w14:val="standardContextual"/>
                    </w:rPr>
                    <w:t>超标排放</w:t>
                  </w:r>
                </w:p>
              </w:tc>
              <w:tc>
                <w:tcPr>
                  <w:tcW w:w="1514" w:type="dxa"/>
                  <w:vAlign w:val="center"/>
                </w:tcPr>
                <w:p w14:paraId="6851ABD1">
                  <w:pPr>
                    <w:widowControl w:val="0"/>
                    <w:overflowPunct w:val="0"/>
                    <w:autoSpaceDE w:val="0"/>
                    <w:autoSpaceDN w:val="0"/>
                    <w:snapToGrid w:val="0"/>
                    <w:jc w:val="center"/>
                    <w:rPr>
                      <w:color w:val="auto"/>
                      <w14:ligatures w14:val="standardContextual"/>
                    </w:rPr>
                  </w:pPr>
                  <w:r>
                    <w:rPr>
                      <w:rFonts w:hint="eastAsia"/>
                      <w:color w:val="auto"/>
                      <w14:ligatures w14:val="standardContextual"/>
                    </w:rPr>
                    <w:t>产生的废气影响大气环境及周围人群</w:t>
                  </w:r>
                </w:p>
              </w:tc>
              <w:tc>
                <w:tcPr>
                  <w:tcW w:w="647" w:type="dxa"/>
                  <w:vAlign w:val="center"/>
                </w:tcPr>
                <w:p w14:paraId="20396418">
                  <w:pPr>
                    <w:widowControl w:val="0"/>
                    <w:overflowPunct w:val="0"/>
                    <w:autoSpaceDE w:val="0"/>
                    <w:autoSpaceDN w:val="0"/>
                    <w:snapToGrid w:val="0"/>
                    <w:jc w:val="center"/>
                    <w:rPr>
                      <w:color w:val="auto"/>
                      <w14:ligatures w14:val="standardContextual"/>
                    </w:rPr>
                  </w:pPr>
                  <w:r>
                    <w:rPr>
                      <w:rFonts w:hint="eastAsia"/>
                      <w:color w:val="auto"/>
                      <w14:ligatures w14:val="standardContextual"/>
                    </w:rPr>
                    <w:t>/</w:t>
                  </w:r>
                </w:p>
              </w:tc>
              <w:tc>
                <w:tcPr>
                  <w:tcW w:w="903" w:type="dxa"/>
                  <w:vAlign w:val="center"/>
                </w:tcPr>
                <w:p w14:paraId="54C1A729">
                  <w:pPr>
                    <w:widowControl w:val="0"/>
                    <w:overflowPunct w:val="0"/>
                    <w:autoSpaceDE w:val="0"/>
                    <w:autoSpaceDN w:val="0"/>
                    <w:snapToGrid w:val="0"/>
                    <w:jc w:val="center"/>
                    <w:rPr>
                      <w:color w:val="auto"/>
                      <w14:ligatures w14:val="standardContextual"/>
                    </w:rPr>
                  </w:pPr>
                  <w:r>
                    <w:rPr>
                      <w:rFonts w:hint="eastAsia"/>
                      <w:color w:val="auto"/>
                      <w14:ligatures w14:val="standardContextual"/>
                    </w:rPr>
                    <w:t>大气环境、人群健康</w:t>
                  </w:r>
                </w:p>
              </w:tc>
            </w:tr>
            <w:tr w14:paraId="10FCC8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66" w:type="dxa"/>
                  <w:vAlign w:val="center"/>
                </w:tcPr>
                <w:p w14:paraId="7FFE8430">
                  <w:pPr>
                    <w:widowControl w:val="0"/>
                    <w:overflowPunct w:val="0"/>
                    <w:autoSpaceDE w:val="0"/>
                    <w:autoSpaceDN w:val="0"/>
                    <w:snapToGrid w:val="0"/>
                    <w:jc w:val="center"/>
                    <w:rPr>
                      <w:color w:val="auto"/>
                      <w14:ligatures w14:val="standardContextual"/>
                    </w:rPr>
                  </w:pPr>
                  <w:r>
                    <w:rPr>
                      <w:rFonts w:hint="eastAsia"/>
                      <w:color w:val="auto"/>
                      <w14:ligatures w14:val="standardContextual"/>
                    </w:rPr>
                    <w:t>3</w:t>
                  </w:r>
                </w:p>
              </w:tc>
              <w:tc>
                <w:tcPr>
                  <w:tcW w:w="1227" w:type="dxa"/>
                  <w:vAlign w:val="center"/>
                </w:tcPr>
                <w:p w14:paraId="62221737">
                  <w:pPr>
                    <w:widowControl w:val="0"/>
                    <w:overflowPunct w:val="0"/>
                    <w:autoSpaceDE w:val="0"/>
                    <w:autoSpaceDN w:val="0"/>
                    <w:snapToGrid w:val="0"/>
                    <w:jc w:val="center"/>
                    <w:rPr>
                      <w:color w:val="auto"/>
                      <w14:ligatures w14:val="standardContextual"/>
                    </w:rPr>
                  </w:pPr>
                  <w:r>
                    <w:rPr>
                      <w:rFonts w:hint="eastAsia"/>
                      <w:color w:val="auto"/>
                      <w14:ligatures w14:val="standardContextual"/>
                    </w:rPr>
                    <w:t>锅炉房</w:t>
                  </w:r>
                </w:p>
              </w:tc>
              <w:tc>
                <w:tcPr>
                  <w:tcW w:w="1024" w:type="dxa"/>
                  <w:vAlign w:val="center"/>
                </w:tcPr>
                <w:p w14:paraId="50E17F42">
                  <w:pPr>
                    <w:widowControl w:val="0"/>
                    <w:overflowPunct w:val="0"/>
                    <w:autoSpaceDE w:val="0"/>
                    <w:autoSpaceDN w:val="0"/>
                    <w:snapToGrid w:val="0"/>
                    <w:jc w:val="center"/>
                    <w:rPr>
                      <w:color w:val="auto"/>
                      <w14:ligatures w14:val="standardContextual"/>
                    </w:rPr>
                  </w:pPr>
                  <w:r>
                    <w:rPr>
                      <w:rFonts w:hint="eastAsia"/>
                      <w:color w:val="auto"/>
                      <w14:ligatures w14:val="standardContextual"/>
                    </w:rPr>
                    <w:t>危废贮存库</w:t>
                  </w:r>
                </w:p>
              </w:tc>
              <w:tc>
                <w:tcPr>
                  <w:tcW w:w="820" w:type="dxa"/>
                  <w:vAlign w:val="center"/>
                </w:tcPr>
                <w:p w14:paraId="75DBDE7D">
                  <w:pPr>
                    <w:widowControl w:val="0"/>
                    <w:overflowPunct w:val="0"/>
                    <w:autoSpaceDE w:val="0"/>
                    <w:autoSpaceDN w:val="0"/>
                    <w:snapToGrid w:val="0"/>
                    <w:jc w:val="center"/>
                    <w:rPr>
                      <w:color w:val="auto"/>
                      <w14:ligatures w14:val="standardContextual"/>
                    </w:rPr>
                  </w:pPr>
                  <w:r>
                    <w:rPr>
                      <w:rFonts w:hint="eastAsia"/>
                      <w:color w:val="auto"/>
                      <w14:ligatures w14:val="standardContextual"/>
                    </w:rPr>
                    <w:t>危险废物</w:t>
                  </w:r>
                </w:p>
              </w:tc>
              <w:tc>
                <w:tcPr>
                  <w:tcW w:w="1442" w:type="dxa"/>
                  <w:vAlign w:val="center"/>
                </w:tcPr>
                <w:p w14:paraId="0EF3679C">
                  <w:pPr>
                    <w:widowControl w:val="0"/>
                    <w:overflowPunct w:val="0"/>
                    <w:autoSpaceDE w:val="0"/>
                    <w:autoSpaceDN w:val="0"/>
                    <w:snapToGrid w:val="0"/>
                    <w:jc w:val="center"/>
                    <w:rPr>
                      <w:color w:val="auto"/>
                      <w14:ligatures w14:val="standardContextual"/>
                    </w:rPr>
                  </w:pPr>
                  <w:r>
                    <w:rPr>
                      <w:rFonts w:hint="eastAsia"/>
                      <w:color w:val="auto"/>
                      <w14:ligatures w14:val="standardContextual"/>
                    </w:rPr>
                    <w:t>泄露、火灾</w:t>
                  </w:r>
                </w:p>
              </w:tc>
              <w:tc>
                <w:tcPr>
                  <w:tcW w:w="1514" w:type="dxa"/>
                  <w:vAlign w:val="center"/>
                </w:tcPr>
                <w:p w14:paraId="2ADA8B70">
                  <w:pPr>
                    <w:widowControl w:val="0"/>
                    <w:overflowPunct w:val="0"/>
                    <w:autoSpaceDE w:val="0"/>
                    <w:autoSpaceDN w:val="0"/>
                    <w:snapToGrid w:val="0"/>
                    <w:jc w:val="center"/>
                    <w:rPr>
                      <w:color w:val="auto"/>
                      <w14:ligatures w14:val="standardContextual"/>
                    </w:rPr>
                  </w:pPr>
                  <w:r>
                    <w:rPr>
                      <w:rFonts w:hint="eastAsia"/>
                      <w:color w:val="auto"/>
                      <w14:ligatures w14:val="standardContextual"/>
                    </w:rPr>
                    <w:t>发生泄漏、火灾，产生的废水污染地表水体和地下水；产生的废气影响大气环境及周围人群</w:t>
                  </w:r>
                </w:p>
              </w:tc>
              <w:tc>
                <w:tcPr>
                  <w:tcW w:w="647" w:type="dxa"/>
                  <w:vAlign w:val="center"/>
                </w:tcPr>
                <w:p w14:paraId="1D241145">
                  <w:pPr>
                    <w:widowControl w:val="0"/>
                    <w:overflowPunct w:val="0"/>
                    <w:autoSpaceDE w:val="0"/>
                    <w:autoSpaceDN w:val="0"/>
                    <w:snapToGrid w:val="0"/>
                    <w:jc w:val="center"/>
                    <w:rPr>
                      <w:color w:val="auto"/>
                      <w14:ligatures w14:val="standardContextual"/>
                    </w:rPr>
                  </w:pPr>
                  <w:r>
                    <w:rPr>
                      <w:rFonts w:hint="eastAsia"/>
                      <w:color w:val="auto"/>
                      <w14:ligatures w14:val="standardContextual"/>
                    </w:rPr>
                    <w:t>CO、</w:t>
                  </w:r>
                  <w:r>
                    <w:rPr>
                      <w:color w:val="auto"/>
                      <w14:ligatures w14:val="standardContextual"/>
                    </w:rPr>
                    <w:t>NOx</w:t>
                  </w:r>
                </w:p>
              </w:tc>
              <w:tc>
                <w:tcPr>
                  <w:tcW w:w="903" w:type="dxa"/>
                  <w:vAlign w:val="center"/>
                </w:tcPr>
                <w:p w14:paraId="0BB745C8">
                  <w:pPr>
                    <w:widowControl w:val="0"/>
                    <w:overflowPunct w:val="0"/>
                    <w:autoSpaceDE w:val="0"/>
                    <w:autoSpaceDN w:val="0"/>
                    <w:snapToGrid w:val="0"/>
                    <w:jc w:val="center"/>
                    <w:rPr>
                      <w:color w:val="auto"/>
                      <w14:ligatures w14:val="standardContextual"/>
                    </w:rPr>
                  </w:pPr>
                  <w:r>
                    <w:rPr>
                      <w:rFonts w:hint="eastAsia"/>
                      <w:color w:val="auto"/>
                      <w14:ligatures w14:val="standardContextual"/>
                    </w:rPr>
                    <w:t>地表水、地下水、大气环境、人群健康</w:t>
                  </w:r>
                </w:p>
              </w:tc>
            </w:tr>
          </w:tbl>
          <w:p w14:paraId="1F76F3F1">
            <w:pPr>
              <w:pStyle w:val="3"/>
              <w:ind w:firstLine="482"/>
              <w:rPr>
                <w:b/>
                <w:bCs/>
                <w:color w:val="auto"/>
              </w:rPr>
            </w:pPr>
            <w:r>
              <w:rPr>
                <w:rFonts w:hint="eastAsia"/>
                <w:b/>
                <w:bCs/>
                <w:color w:val="auto"/>
              </w:rPr>
              <w:t>4、环境风险防范措施</w:t>
            </w:r>
          </w:p>
          <w:p w14:paraId="169CBB9C">
            <w:pPr>
              <w:pStyle w:val="3"/>
              <w:ind w:firstLine="480"/>
              <w:rPr>
                <w:color w:val="auto"/>
              </w:rPr>
            </w:pPr>
            <w:bookmarkStart w:id="263" w:name="I、原料、产品贮存火灾风险防范措施"/>
            <w:r>
              <w:rPr>
                <w:rFonts w:hint="eastAsia"/>
                <w:color w:val="auto"/>
              </w:rPr>
              <w:t>I、</w:t>
            </w:r>
            <w:bookmarkEnd w:id="263"/>
            <w:r>
              <w:rPr>
                <w:rFonts w:hint="eastAsia"/>
                <w:color w:val="auto"/>
              </w:rPr>
              <w:t>生物质成型颗粒遇明火引发的火灾产生的伴生/次生事故风险</w:t>
            </w:r>
          </w:p>
          <w:p w14:paraId="7F9F4892">
            <w:pPr>
              <w:pStyle w:val="3"/>
              <w:ind w:firstLine="480"/>
              <w:rPr>
                <w:color w:val="auto"/>
              </w:rPr>
            </w:pPr>
            <w:r>
              <w:rPr>
                <w:rFonts w:hint="eastAsia"/>
                <w:color w:val="auto"/>
              </w:rPr>
              <w:t>锅炉房存储的生物质燃料遇明火引发的火灾产生的伴生/次生有毒有害气体污染物排放，造成大气污染。火灾消防尾水一同通过雨水管网流入区域地表水体，造成区域地表水体的污染。</w:t>
            </w:r>
          </w:p>
          <w:p w14:paraId="2F043828">
            <w:pPr>
              <w:pStyle w:val="3"/>
              <w:ind w:firstLine="480"/>
              <w:rPr>
                <w:color w:val="auto"/>
              </w:rPr>
            </w:pPr>
            <w:r>
              <w:rPr>
                <w:rFonts w:hint="eastAsia"/>
                <w:color w:val="auto"/>
              </w:rPr>
              <w:t>厂区生物质燃料集中分区暂存，暂存区禁止明火，设置灭火设施，建设单位杜绝消防废水进入自然水体环境。</w:t>
            </w:r>
          </w:p>
          <w:p w14:paraId="4D088989">
            <w:pPr>
              <w:pStyle w:val="3"/>
              <w:ind w:firstLine="480"/>
              <w:rPr>
                <w:color w:val="auto"/>
              </w:rPr>
            </w:pPr>
            <w:r>
              <w:rPr>
                <w:rFonts w:hint="eastAsia"/>
                <w:color w:val="auto"/>
              </w:rPr>
              <w:t>II、废气事故排放</w:t>
            </w:r>
          </w:p>
          <w:p w14:paraId="744CBA24">
            <w:pPr>
              <w:pStyle w:val="3"/>
              <w:ind w:firstLine="480"/>
              <w:rPr>
                <w:color w:val="auto"/>
              </w:rPr>
            </w:pPr>
            <w:r>
              <w:rPr>
                <w:rFonts w:hint="eastAsia"/>
                <w:color w:val="auto"/>
              </w:rPr>
              <w:t>废气处理过程处理设施发生设备故障会造成废气无组织排放，短时间内可能造成环境空气质量超标，甚至对人体健康造成危害。</w:t>
            </w:r>
          </w:p>
          <w:p w14:paraId="70674234">
            <w:pPr>
              <w:pStyle w:val="3"/>
              <w:ind w:firstLine="480"/>
              <w:rPr>
                <w:color w:val="auto"/>
              </w:rPr>
            </w:pPr>
            <w:r>
              <w:rPr>
                <w:rFonts w:hint="eastAsia"/>
                <w:color w:val="auto"/>
              </w:rPr>
              <w:t>建设方应采取措施杜绝此类环境风险发生，若发生环保设备故障，建设方应立即停止生产，寻找原因，原因不查明严禁开工生产，同时应及时上报环保局备案，避免污染物经大气扩散对周边敏感目标空气环境造成不良影响。</w:t>
            </w:r>
          </w:p>
          <w:p w14:paraId="2A1805FC">
            <w:pPr>
              <w:pStyle w:val="3"/>
              <w:ind w:firstLine="480"/>
              <w:rPr>
                <w:color w:val="auto"/>
              </w:rPr>
            </w:pPr>
            <w:r>
              <w:rPr>
                <w:rFonts w:hint="eastAsia"/>
                <w:color w:val="auto"/>
              </w:rPr>
              <w:t>同时建设单位应严格落实本评价提出的废气防治措施，企业对废气处理系统进行定期与不定期检查，及时维修或更换不良部件，保证废气治理设施正常运行，确保废气处理达标排放。</w:t>
            </w:r>
            <w:bookmarkStart w:id="264" w:name="VII突发事故应急预案"/>
          </w:p>
          <w:p w14:paraId="26E8309F">
            <w:pPr>
              <w:pStyle w:val="3"/>
              <w:ind w:firstLine="480"/>
              <w:rPr>
                <w:color w:val="auto"/>
              </w:rPr>
            </w:pPr>
            <w:r>
              <w:rPr>
                <w:rFonts w:hint="eastAsia"/>
                <w:color w:val="auto"/>
              </w:rPr>
              <w:t>III危险废物泄露、火灾等产生的伴生/次生事故风险</w:t>
            </w:r>
          </w:p>
          <w:p w14:paraId="76B9DC20">
            <w:pPr>
              <w:pStyle w:val="3"/>
              <w:ind w:firstLine="480"/>
              <w:rPr>
                <w:color w:val="auto"/>
              </w:rPr>
            </w:pPr>
            <w:r>
              <w:rPr>
                <w:rFonts w:hint="eastAsia"/>
                <w:color w:val="auto"/>
              </w:rPr>
              <w:t>本项目润滑油储存场所设防渗漏、防腐蚀、防淋溶、防流失措施。危废贮存库应须严格按照《危险废物贮存污染控制标准》(GB18597-2023)的要求设计，做好防风、防雨、防晒、防渗，防止二次污染，按要求设置危废暂存间标识。地面采用坚固、防渗、耐腐蚀的材料建造，并设计有堵截泄漏的裙脚、围堰等设施。库内废物定期由专用运输车辆运至危险废物处置单位进行处置。企业油类原料储存区增设集液托盘或设置围堰，收集从桶中泄漏的物料；设置应急空桶备用；准备沙土、干燥石灰等其它不燃材料、吸油毡等吸附材料用于吸附泄漏物料油。</w:t>
            </w:r>
          </w:p>
          <w:p w14:paraId="30674DF3">
            <w:pPr>
              <w:pStyle w:val="3"/>
              <w:ind w:firstLine="480"/>
              <w:rPr>
                <w:color w:val="auto"/>
              </w:rPr>
            </w:pPr>
            <w:r>
              <w:rPr>
                <w:rFonts w:hint="eastAsia"/>
                <w:color w:val="auto"/>
              </w:rPr>
              <w:t>IV突发事故应急预案</w:t>
            </w:r>
            <w:bookmarkEnd w:id="264"/>
          </w:p>
          <w:p w14:paraId="0E8FBEEC">
            <w:pPr>
              <w:pStyle w:val="3"/>
              <w:ind w:firstLine="480"/>
              <w:rPr>
                <w:color w:val="auto"/>
              </w:rPr>
            </w:pPr>
            <w:r>
              <w:rPr>
                <w:rFonts w:hint="eastAsia"/>
                <w:color w:val="auto"/>
              </w:rPr>
              <w:t>按要求编制应急预案，其组织机构包含突发环境污染事故工作组（指挥部）、指挥部由总指挥（公司总经理）、副总指挥（分管生产的副总经理、分管环保的副总经理）、其他成员（调度处处长、环保处处长、安全处处长、保卫处处长和公司办主任）。并根据应急预案的要求配备基本的应急物资，如消火栓、灭火器、消防水池、防毒面具、应急药品、警示牌等。明确紧急情况下企业应按事发地人民政府环保部门要求，配合开展工作。明确应急监测方案，包括污染现场、实验室应急监测方法、仪器、药剂。突发环境事件发生时企业环境监测机构要立即开展应急监测，在政府部门到达后，则配合政府部门相关机构进行监测。</w:t>
            </w:r>
          </w:p>
          <w:p w14:paraId="31DD2199">
            <w:pPr>
              <w:pStyle w:val="3"/>
              <w:ind w:firstLine="482"/>
              <w:rPr>
                <w:color w:val="auto"/>
              </w:rPr>
            </w:pPr>
            <w:r>
              <w:rPr>
                <w:rFonts w:hint="eastAsia"/>
                <w:b/>
                <w:bCs/>
                <w:color w:val="auto"/>
              </w:rPr>
              <w:t>5、环境风险结论</w:t>
            </w:r>
          </w:p>
          <w:p w14:paraId="48852DA4">
            <w:pPr>
              <w:pStyle w:val="3"/>
              <w:ind w:firstLine="480"/>
              <w:rPr>
                <w:color w:val="auto"/>
              </w:rPr>
            </w:pPr>
            <w:r>
              <w:rPr>
                <w:rFonts w:hint="eastAsia"/>
                <w:color w:val="auto"/>
              </w:rPr>
              <w:t>通过风险防范措施的设立和应急预案的建立，可以较为有效的最大限度防治风险事故的发生和有效处置，并结合企业在运营过程中不断制定和完善的风险防范措施和应急预案，在此情况下，建设单位环境风险可以有效防控，对环境的不利影响可以得到有效的控制，项目风险水平在可接受的范围内。</w:t>
            </w:r>
          </w:p>
          <w:p w14:paraId="2C873E85">
            <w:pPr>
              <w:pStyle w:val="7"/>
              <w:rPr>
                <w:color w:val="auto"/>
              </w:rPr>
            </w:pPr>
            <w:r>
              <w:rPr>
                <w:rFonts w:hint="eastAsia"/>
                <w:color w:val="auto"/>
              </w:rPr>
              <w:t>八、环境管理</w:t>
            </w:r>
          </w:p>
          <w:p w14:paraId="3D28FFF0">
            <w:pPr>
              <w:pStyle w:val="3"/>
              <w:ind w:firstLine="480"/>
              <w:rPr>
                <w:color w:val="auto"/>
              </w:rPr>
            </w:pPr>
            <w:r>
              <w:rPr>
                <w:rFonts w:hint="eastAsia"/>
                <w:color w:val="auto"/>
              </w:rPr>
              <w:t>环境管理和污染源监测是建设单位内部污染源监督管理的重要组成部分。在企业中建立健全的环保机构，加强环保管理工作，开展厂内环境监测、监督，并把环保工作纳入生产管理，有助于控制和减少污染物的排放、促进资源的合理回用，对减轻环境污染、保护环境有着重要意义。</w:t>
            </w:r>
          </w:p>
          <w:p w14:paraId="68EF65A3">
            <w:pPr>
              <w:pStyle w:val="3"/>
              <w:ind w:firstLine="480"/>
              <w:rPr>
                <w:color w:val="auto"/>
              </w:rPr>
            </w:pPr>
            <w:r>
              <w:rPr>
                <w:rFonts w:hint="eastAsia"/>
                <w:color w:val="auto"/>
              </w:rPr>
              <w:t>（1）环境管理</w:t>
            </w:r>
          </w:p>
          <w:p w14:paraId="431B1B0C">
            <w:pPr>
              <w:pStyle w:val="3"/>
              <w:ind w:firstLine="480"/>
              <w:rPr>
                <w:color w:val="auto"/>
              </w:rPr>
            </w:pPr>
            <w:r>
              <w:rPr>
                <w:rFonts w:hint="eastAsia"/>
                <w:color w:val="auto"/>
              </w:rPr>
              <w:t>1）环境管理目的</w:t>
            </w:r>
          </w:p>
          <w:p w14:paraId="01E9665E">
            <w:pPr>
              <w:pStyle w:val="3"/>
              <w:ind w:firstLine="480"/>
              <w:rPr>
                <w:color w:val="auto"/>
              </w:rPr>
            </w:pPr>
            <w:r>
              <w:rPr>
                <w:rFonts w:hint="eastAsia"/>
                <w:color w:val="auto"/>
              </w:rPr>
              <w:t>根据《中华人民共和国环境保护法》（2015年1月1日施行），环境管理目的是：“为保护和改善环境，防治污染和其他公害，保障公众健康，推进生态文明建设，促进经济社会可持续发展”。</w:t>
            </w:r>
          </w:p>
          <w:p w14:paraId="7208D0CE">
            <w:pPr>
              <w:pStyle w:val="3"/>
              <w:ind w:firstLine="480"/>
              <w:rPr>
                <w:color w:val="auto"/>
              </w:rPr>
            </w:pPr>
            <w:r>
              <w:rPr>
                <w:rFonts w:hint="eastAsia"/>
                <w:color w:val="auto"/>
              </w:rPr>
              <w:t>2）环境管理要求</w:t>
            </w:r>
          </w:p>
          <w:p w14:paraId="573F5291">
            <w:pPr>
              <w:pStyle w:val="3"/>
              <w:ind w:firstLine="480"/>
              <w:rPr>
                <w:color w:val="auto"/>
              </w:rPr>
            </w:pPr>
            <w:r>
              <w:rPr>
                <w:rFonts w:hint="eastAsia"/>
                <w:color w:val="auto"/>
              </w:rPr>
              <w:t>①建设单位需设专门的环境管理部门，安排专门环保人员，负责项目运行过程中环境管理、环境监控等工作，并受项目所在地主管部门、生态环境部门的监督和指导。</w:t>
            </w:r>
          </w:p>
          <w:p w14:paraId="334F6C74">
            <w:pPr>
              <w:pStyle w:val="3"/>
              <w:ind w:firstLine="480"/>
              <w:rPr>
                <w:color w:val="auto"/>
              </w:rPr>
            </w:pPr>
            <w:r>
              <w:rPr>
                <w:rFonts w:hint="eastAsia"/>
                <w:color w:val="auto"/>
              </w:rPr>
              <w:t>②安排专人定期对环保设施进行检查、维修、保养等工作，确保环保设施长期、稳定、达标运行。</w:t>
            </w:r>
          </w:p>
          <w:p w14:paraId="09006793">
            <w:pPr>
              <w:pStyle w:val="3"/>
              <w:ind w:firstLine="480"/>
              <w:rPr>
                <w:color w:val="auto"/>
              </w:rPr>
            </w:pPr>
            <w:r>
              <w:rPr>
                <w:rFonts w:hint="eastAsia"/>
                <w:color w:val="auto"/>
              </w:rPr>
              <w:t>③定期对员工进行环境保护教育、培训，增强员工的环保意识。</w:t>
            </w:r>
          </w:p>
          <w:p w14:paraId="6F92262D">
            <w:pPr>
              <w:pStyle w:val="3"/>
              <w:ind w:firstLine="480"/>
              <w:rPr>
                <w:color w:val="auto"/>
              </w:rPr>
            </w:pPr>
            <w:r>
              <w:rPr>
                <w:rFonts w:hint="eastAsia"/>
                <w:color w:val="auto"/>
              </w:rPr>
              <w:t>（2）严格落实排污许可证制度</w:t>
            </w:r>
          </w:p>
          <w:p w14:paraId="54CF79E4">
            <w:pPr>
              <w:pStyle w:val="3"/>
              <w:ind w:firstLine="480"/>
              <w:rPr>
                <w:color w:val="auto"/>
              </w:rPr>
            </w:pPr>
            <w:r>
              <w:rPr>
                <w:rFonts w:hint="eastAsia"/>
                <w:color w:val="auto"/>
              </w:rPr>
              <w:t>1）落实按证排污责任</w:t>
            </w:r>
          </w:p>
          <w:p w14:paraId="36840F3F">
            <w:pPr>
              <w:pStyle w:val="3"/>
              <w:ind w:firstLine="480"/>
              <w:rPr>
                <w:color w:val="auto"/>
              </w:rPr>
            </w:pPr>
            <w:r>
              <w:rPr>
                <w:rFonts w:hint="eastAsia"/>
                <w:color w:val="auto"/>
              </w:rPr>
              <w:t>建设单位必须按期持证排污、按证排污，不得无证排污，及时申领排污许可证，对申请材料的真实性、准确性和完整性承担法律责任，承诺按照排污许可证的规定排污并严格执行；落实污染物排放控制措施和其他各项环境管理要求，确保污染物排放种类、浓度和排放量等达到许可要求；明确单位负责人和相关人员环境保护责任，不断提高污染治理和环境管理水平，自觉接受监督检查。</w:t>
            </w:r>
          </w:p>
          <w:p w14:paraId="0349C18D">
            <w:pPr>
              <w:pStyle w:val="3"/>
              <w:ind w:firstLine="480"/>
              <w:rPr>
                <w:color w:val="auto"/>
              </w:rPr>
            </w:pPr>
            <w:r>
              <w:rPr>
                <w:rFonts w:hint="eastAsia"/>
                <w:color w:val="auto"/>
              </w:rPr>
              <w:t>2）实行自行监测和定期报告制度</w:t>
            </w:r>
          </w:p>
          <w:p w14:paraId="3F92F3A6">
            <w:pPr>
              <w:pStyle w:val="3"/>
              <w:ind w:firstLine="480"/>
              <w:rPr>
                <w:color w:val="auto"/>
              </w:rPr>
            </w:pPr>
            <w:r>
              <w:rPr>
                <w:rFonts w:hint="eastAsia"/>
                <w:color w:val="auto"/>
              </w:rPr>
              <w:t>依法开展自行监测，安装或使用监测设备应符合国家有关环境监测、计量认证规定和技术规范，保障数据合法有效，保证设备正常运行，妥善保存原始记录，建立准确完整的环境管理台账。如实向生态环境部门报告排污许可证执行情况，依法向社会公开污染物排放数据并对数据真实性负责。排放情况与排污许可证要求不符的，应及时向生态环境部门报告。</w:t>
            </w:r>
          </w:p>
          <w:p w14:paraId="0399EE58">
            <w:pPr>
              <w:pStyle w:val="3"/>
              <w:ind w:firstLine="480"/>
              <w:rPr>
                <w:color w:val="auto"/>
              </w:rPr>
            </w:pPr>
            <w:r>
              <w:rPr>
                <w:rFonts w:hint="eastAsia"/>
                <w:color w:val="auto"/>
              </w:rPr>
              <w:t>（3）排污许可证管理</w:t>
            </w:r>
          </w:p>
          <w:p w14:paraId="43595194">
            <w:pPr>
              <w:pStyle w:val="3"/>
              <w:ind w:firstLine="480"/>
              <w:rPr>
                <w:color w:val="auto"/>
              </w:rPr>
            </w:pPr>
            <w:r>
              <w:rPr>
                <w:rFonts w:hint="eastAsia"/>
                <w:color w:val="auto"/>
              </w:rPr>
              <w:t>依据关于印发《关于发布排污许可证承诺书样本、排污许可证申请表和排污许可证格式的通知》的通知（环规财[2018]80号），排污许可证管理要求如下：</w:t>
            </w:r>
          </w:p>
          <w:p w14:paraId="549B69AA">
            <w:pPr>
              <w:pStyle w:val="3"/>
              <w:ind w:firstLine="480"/>
              <w:rPr>
                <w:color w:val="auto"/>
              </w:rPr>
            </w:pPr>
            <w:r>
              <w:rPr>
                <w:rFonts w:hint="eastAsia"/>
                <w:color w:val="auto"/>
              </w:rPr>
              <w:t>1）排污许可证的变更</w:t>
            </w:r>
          </w:p>
          <w:p w14:paraId="693182DC">
            <w:pPr>
              <w:pStyle w:val="3"/>
              <w:ind w:firstLine="480"/>
              <w:rPr>
                <w:color w:val="auto"/>
              </w:rPr>
            </w:pPr>
            <w:r>
              <w:rPr>
                <w:rFonts w:hint="eastAsia"/>
                <w:color w:val="auto"/>
              </w:rPr>
              <w:t>①在排污许可证有效期内，建设单位发生以下事项变化的，应当在规定时间内向原核发机关提出变更排污许可证的申请：排污单位名称、注册地址、法定代表人或者实际负责人等正本中载明的基本信息发生变更之日起二十日内。</w:t>
            </w:r>
          </w:p>
          <w:p w14:paraId="2B76258A">
            <w:pPr>
              <w:pStyle w:val="3"/>
              <w:ind w:firstLine="480"/>
              <w:rPr>
                <w:color w:val="auto"/>
              </w:rPr>
            </w:pPr>
            <w:r>
              <w:rPr>
                <w:rFonts w:hint="eastAsia"/>
                <w:color w:val="auto"/>
              </w:rPr>
              <w:t>②排污单位在原场址内实施新改扩建项目应当开展环境影响评价的，在通过环境影响评价审批或者备案后，产生实际排污行为之前二十日内。</w:t>
            </w:r>
          </w:p>
          <w:p w14:paraId="6E8ADD05">
            <w:pPr>
              <w:pStyle w:val="3"/>
              <w:ind w:firstLine="480"/>
              <w:rPr>
                <w:color w:val="auto"/>
              </w:rPr>
            </w:pPr>
            <w:r>
              <w:rPr>
                <w:rFonts w:hint="eastAsia"/>
                <w:color w:val="auto"/>
              </w:rPr>
              <w:t>③国家或地方实施新污染物排放标准的，核发机关应主动通知排污单位进行变更，排污单位在接到通知后二十日内申请变更。</w:t>
            </w:r>
          </w:p>
          <w:p w14:paraId="604E0A5E">
            <w:pPr>
              <w:pStyle w:val="3"/>
              <w:ind w:firstLine="480"/>
              <w:rPr>
                <w:color w:val="auto"/>
              </w:rPr>
            </w:pPr>
            <w:r>
              <w:rPr>
                <w:rFonts w:hint="eastAsia"/>
                <w:color w:val="auto"/>
              </w:rPr>
              <w:t>④政府相关文件或与其他企业达成协议，进行区域替代实现减量排放的，应在文件或协议规定时限内提出变更申请。</w:t>
            </w:r>
          </w:p>
          <w:p w14:paraId="2CF0943D">
            <w:pPr>
              <w:pStyle w:val="3"/>
              <w:ind w:firstLine="480"/>
              <w:rPr>
                <w:color w:val="auto"/>
              </w:rPr>
            </w:pPr>
            <w:r>
              <w:rPr>
                <w:rFonts w:hint="eastAsia"/>
                <w:color w:val="auto"/>
              </w:rPr>
              <w:t>⑤需要进行变更的其他情形。</w:t>
            </w:r>
          </w:p>
          <w:p w14:paraId="2473A4B4">
            <w:pPr>
              <w:pStyle w:val="3"/>
              <w:ind w:firstLine="480"/>
              <w:rPr>
                <w:color w:val="auto"/>
              </w:rPr>
            </w:pPr>
            <w:r>
              <w:rPr>
                <w:rFonts w:hint="eastAsia"/>
                <w:color w:val="auto"/>
              </w:rPr>
              <w:t>2）排污许可证的补办</w:t>
            </w:r>
          </w:p>
          <w:p w14:paraId="03825E3E">
            <w:pPr>
              <w:pStyle w:val="3"/>
              <w:ind w:firstLine="480"/>
              <w:rPr>
                <w:color w:val="auto"/>
              </w:rPr>
            </w:pPr>
            <w:r>
              <w:rPr>
                <w:rFonts w:hint="eastAsia"/>
                <w:color w:val="auto"/>
              </w:rPr>
              <w:t>排污许可证发生遗失、损毁的，建设单位应当在三十日内向原核发机关申请补领排污许可证，遗失排污许可证的还应同时提交遗失声明，损毁排污许可证的还应同时交回被损毁的许可证。核发机关应当在收到补领申请后十日内补发排污许可证，并及时在国家排污许可证管理信息平台上进行公告。</w:t>
            </w:r>
          </w:p>
          <w:p w14:paraId="3B6623A0">
            <w:pPr>
              <w:pStyle w:val="3"/>
              <w:ind w:firstLine="480"/>
              <w:rPr>
                <w:color w:val="auto"/>
              </w:rPr>
            </w:pPr>
            <w:r>
              <w:rPr>
                <w:rFonts w:hint="eastAsia"/>
                <w:color w:val="auto"/>
              </w:rPr>
              <w:t>3）其他相关要求</w:t>
            </w:r>
          </w:p>
          <w:p w14:paraId="58718651">
            <w:pPr>
              <w:pStyle w:val="3"/>
              <w:ind w:firstLine="480"/>
              <w:rPr>
                <w:color w:val="auto"/>
              </w:rPr>
            </w:pPr>
            <w:r>
              <w:rPr>
                <w:rFonts w:hint="eastAsia"/>
                <w:color w:val="auto"/>
              </w:rPr>
              <w:t>①排污口位置和数量、排放方式、排放去向、排放污染物种类、排放浓度和排放量、执行的排放标准等符合排污许可证的规定，不得私设暗管或以其他方式逃避监管。</w:t>
            </w:r>
          </w:p>
          <w:p w14:paraId="163ABF6C">
            <w:pPr>
              <w:pStyle w:val="3"/>
              <w:ind w:firstLine="480"/>
              <w:rPr>
                <w:color w:val="auto"/>
              </w:rPr>
            </w:pPr>
            <w:r>
              <w:rPr>
                <w:rFonts w:hint="eastAsia"/>
                <w:color w:val="auto"/>
              </w:rPr>
              <w:t>②落实重污染天气应急管控措施、遵守法律规定的最新环境保护要求等。按排污许可证规定的监测点位、监测因子、监测频次和相关监测技术规范开展自行监测并公开。</w:t>
            </w:r>
          </w:p>
          <w:p w14:paraId="66CE5E96">
            <w:pPr>
              <w:pStyle w:val="3"/>
              <w:ind w:firstLine="480"/>
              <w:rPr>
                <w:color w:val="auto"/>
              </w:rPr>
            </w:pPr>
            <w:r>
              <w:rPr>
                <w:rFonts w:hint="eastAsia"/>
                <w:color w:val="auto"/>
              </w:rPr>
              <w:t>③按规范进行台账记录，主要内容包括生产信息、燃料、原辅材料使用情况、污染防治设施运行记录、监测数据等。</w:t>
            </w:r>
          </w:p>
          <w:p w14:paraId="160F7DDB">
            <w:pPr>
              <w:pStyle w:val="3"/>
              <w:ind w:firstLine="480"/>
              <w:rPr>
                <w:color w:val="auto"/>
              </w:rPr>
            </w:pPr>
            <w:r>
              <w:rPr>
                <w:rFonts w:hint="eastAsia"/>
                <w:color w:val="auto"/>
              </w:rPr>
              <w:t>④按排污许可证规定，定期在国家排污许可证管理信息平台填报信息，编制排污许可证执行报告，及时报送有核发权的生态环境主管部门并公开，执行报告主要内容包括生产信息、污染防治设施运行情况、污染物按证排放情况等。</w:t>
            </w:r>
          </w:p>
          <w:p w14:paraId="6B5BFA78">
            <w:pPr>
              <w:pStyle w:val="3"/>
              <w:ind w:firstLine="480"/>
              <w:rPr>
                <w:color w:val="auto"/>
              </w:rPr>
            </w:pPr>
            <w:r>
              <w:rPr>
                <w:rFonts w:hint="eastAsia"/>
                <w:color w:val="auto"/>
              </w:rPr>
              <w:t>⑤法律法规规定的其他义务。</w:t>
            </w:r>
          </w:p>
          <w:p w14:paraId="471EC0CA">
            <w:pPr>
              <w:pStyle w:val="3"/>
              <w:ind w:firstLine="480"/>
              <w:rPr>
                <w:color w:val="auto"/>
              </w:rPr>
            </w:pPr>
            <w:r>
              <w:rPr>
                <w:rFonts w:hint="eastAsia"/>
                <w:color w:val="auto"/>
              </w:rPr>
              <w:t>4）根据《关于做好环境影响评价制度与排污许可制衔接相关工作的通知》（环办环评[2017]84号），本项目与排污许可制度衔接工作如下：</w:t>
            </w:r>
          </w:p>
          <w:p w14:paraId="01D6EB70">
            <w:pPr>
              <w:pStyle w:val="3"/>
              <w:ind w:firstLine="480"/>
              <w:rPr>
                <w:color w:val="auto"/>
              </w:rPr>
            </w:pPr>
            <w:r>
              <w:rPr>
                <w:rFonts w:hint="eastAsia"/>
                <w:color w:val="auto"/>
              </w:rPr>
              <w:t>①在排污许可管理中，应严格按照本评价的要求核发排污许可证；</w:t>
            </w:r>
          </w:p>
          <w:p w14:paraId="2D12EA4D">
            <w:pPr>
              <w:pStyle w:val="3"/>
              <w:ind w:firstLine="480"/>
              <w:rPr>
                <w:color w:val="auto"/>
              </w:rPr>
            </w:pPr>
            <w:r>
              <w:rPr>
                <w:rFonts w:hint="eastAsia"/>
                <w:color w:val="auto"/>
              </w:rPr>
              <w:t>②在核发排污许可证时应严格核定排放口数量、位置以及每个排放口的污染物种类、允许排放浓度和允许排放量、排放方式、排放去向、自行监测计划等与污染物排放相关的主要内容；</w:t>
            </w:r>
          </w:p>
          <w:p w14:paraId="49B351CF">
            <w:pPr>
              <w:pStyle w:val="3"/>
              <w:ind w:firstLine="480"/>
              <w:rPr>
                <w:color w:val="auto"/>
              </w:rPr>
            </w:pPr>
            <w:r>
              <w:rPr>
                <w:rFonts w:hint="eastAsia"/>
                <w:color w:val="auto"/>
              </w:rPr>
              <w:t>③项目在发生实际排污行为之前，排污单位应当按照国家环境保护相关法律法规申请排污许可证，不得无证排污或不按证排污。</w:t>
            </w:r>
          </w:p>
          <w:p w14:paraId="7F5647C4">
            <w:pPr>
              <w:pStyle w:val="7"/>
              <w:rPr>
                <w:color w:val="auto"/>
              </w:rPr>
            </w:pPr>
            <w:r>
              <w:rPr>
                <w:rFonts w:hint="eastAsia"/>
                <w:color w:val="auto"/>
              </w:rPr>
              <w:t>九、排污口规范化措施</w:t>
            </w:r>
          </w:p>
          <w:p w14:paraId="2C0C14AE">
            <w:pPr>
              <w:pStyle w:val="3"/>
              <w:ind w:firstLine="480"/>
              <w:rPr>
                <w:color w:val="auto"/>
              </w:rPr>
            </w:pPr>
            <w:r>
              <w:rPr>
                <w:rFonts w:hint="eastAsia"/>
                <w:color w:val="auto"/>
              </w:rPr>
              <w:t>废水排放口、固定噪声源、固体废物贮存和烟囱（排气筒）必须按照《江西省排污口设置与规范化整治管理办法》进行建设，应符合“一明显、二合理、三便于”的要求，即环保标志明显，排污口设置合理，便于采集样品、便于监测计量、便于公众参与和监督管理。同时要求按照《环境保护图形标志实施细则（试行）》（环监</w:t>
            </w:r>
            <w:r>
              <w:rPr>
                <w:rFonts w:hint="eastAsia"/>
                <w:color w:val="auto"/>
                <w:lang w:eastAsia="zh-CN"/>
              </w:rPr>
              <w:t>〔1996〕463号</w:t>
            </w:r>
            <w:r>
              <w:rPr>
                <w:rFonts w:hint="eastAsia"/>
                <w:color w:val="auto"/>
              </w:rPr>
              <w:t>）的规定，设置与排污口相应的图形标志牌。</w:t>
            </w:r>
          </w:p>
          <w:p w14:paraId="66820F08">
            <w:pPr>
              <w:pStyle w:val="3"/>
              <w:ind w:firstLine="480"/>
              <w:rPr>
                <w:color w:val="auto"/>
              </w:rPr>
            </w:pPr>
            <w:r>
              <w:rPr>
                <w:rFonts w:hint="eastAsia"/>
                <w:color w:val="auto"/>
              </w:rPr>
              <w:t>（1）烟囱（排气筒）设置取样口，并具备采样监测条件，废水排放口设置取样口，附近竖立图形标志牌。</w:t>
            </w:r>
          </w:p>
          <w:p w14:paraId="26878C1C">
            <w:pPr>
              <w:pStyle w:val="3"/>
              <w:ind w:firstLine="480"/>
              <w:rPr>
                <w:color w:val="auto"/>
              </w:rPr>
            </w:pPr>
            <w:r>
              <w:rPr>
                <w:rFonts w:hint="eastAsia"/>
                <w:color w:val="auto"/>
              </w:rPr>
              <w:t>（2）排污口管理。建设单位应在各个排污口处竖立标志牌，并如实填写《中华人民共和国规范化排污口标记登记证》，由生态环境部门签发。生态环境部门和建设单位可分别按以下内容建立排污口管理的专门档案：排污口性质和编号；位置；排放主要污染物种类、数量、浓度；排放去向；达标情况；治理设施运行情况及整改意见。</w:t>
            </w:r>
          </w:p>
          <w:p w14:paraId="3916DEB8">
            <w:pPr>
              <w:pStyle w:val="3"/>
              <w:ind w:firstLine="480"/>
              <w:rPr>
                <w:color w:val="auto"/>
              </w:rPr>
            </w:pPr>
            <w:r>
              <w:rPr>
                <w:rFonts w:hint="eastAsia"/>
                <w:color w:val="auto"/>
              </w:rPr>
              <w:t>（3）环境保护图形标志</w:t>
            </w:r>
          </w:p>
          <w:p w14:paraId="3D6B1CCC">
            <w:pPr>
              <w:pStyle w:val="3"/>
              <w:ind w:firstLine="480"/>
              <w:rPr>
                <w:color w:val="auto"/>
              </w:rPr>
            </w:pPr>
            <w:r>
              <w:rPr>
                <w:rFonts w:hint="eastAsia"/>
                <w:color w:val="auto"/>
              </w:rPr>
              <w:t>在厂区的废水排放口、废气排放源、固体废物贮存处置场应设置环境保护图形标志，图形符号分为提示图形和警告图形符号两种，分别按GB15562.1-1995、GB15562.2-1995及修改单执行。环境保护图形标志的形状及颜色及环境保护图形符号如下：</w:t>
            </w:r>
          </w:p>
          <w:p w14:paraId="513CA3C9">
            <w:pPr>
              <w:pStyle w:val="49"/>
              <w:rPr>
                <w:color w:val="auto"/>
              </w:rPr>
            </w:pPr>
            <w:r>
              <w:rPr>
                <w:rFonts w:hint="eastAsia"/>
                <w:color w:val="auto"/>
              </w:rPr>
              <w:t xml:space="preserve">表4- </w:t>
            </w:r>
            <w:r>
              <w:rPr>
                <w:color w:val="auto"/>
              </w:rPr>
              <w:t>18</w:t>
            </w:r>
            <w:r>
              <w:rPr>
                <w:rFonts w:hint="eastAsia"/>
                <w:color w:val="auto"/>
              </w:rPr>
              <w:t>：环境保护图形标志的形状及颜色表</w:t>
            </w:r>
          </w:p>
          <w:tbl>
            <w:tblPr>
              <w:tblStyle w:val="50"/>
              <w:tblW w:w="793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2221"/>
              <w:gridCol w:w="1905"/>
              <w:gridCol w:w="1906"/>
              <w:gridCol w:w="1906"/>
            </w:tblGrid>
            <w:tr w14:paraId="3B5260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59" w:hRule="atLeast"/>
                <w:jc w:val="center"/>
              </w:trPr>
              <w:tc>
                <w:tcPr>
                  <w:tcW w:w="2388" w:type="dxa"/>
                  <w:tcBorders>
                    <w:top w:val="single" w:color="auto" w:sz="12" w:space="0"/>
                    <w:left w:val="nil"/>
                    <w:bottom w:val="single" w:color="auto" w:sz="12" w:space="0"/>
                    <w:right w:val="single" w:color="auto" w:sz="4" w:space="0"/>
                    <w:insideH w:val="single" w:sz="12" w:space="0"/>
                    <w:insideV w:val="single" w:sz="4" w:space="0"/>
                    <w:tl2br w:val="nil"/>
                    <w:tr2bl w:val="nil"/>
                  </w:tcBorders>
                  <w:vAlign w:val="center"/>
                </w:tcPr>
                <w:p w14:paraId="1E644285">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sz w:val="21"/>
                      <w:szCs w:val="21"/>
                      <w14:ligatures w14:val="standardContextual"/>
                    </w:rPr>
                  </w:pPr>
                  <w:r>
                    <w:rPr>
                      <w:rFonts w:hint="eastAsia" w:ascii="Times New Roman" w:hAnsi="Times New Roman" w:eastAsia="宋体" w:cs="Times New Roman"/>
                      <w:b/>
                      <w:i w:val="0"/>
                      <w:color w:val="auto"/>
                      <w:sz w:val="21"/>
                      <w:szCs w:val="21"/>
                      <w:lang w:bidi="ar"/>
                      <w14:ligatures w14:val="standardContextual"/>
                    </w:rPr>
                    <w:t>标志名称</w:t>
                  </w:r>
                </w:p>
              </w:tc>
              <w:tc>
                <w:tcPr>
                  <w:tcW w:w="2043" w:type="dxa"/>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07589C65">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sz w:val="21"/>
                      <w:szCs w:val="21"/>
                      <w14:ligatures w14:val="standardContextual"/>
                    </w:rPr>
                  </w:pPr>
                  <w:r>
                    <w:rPr>
                      <w:rFonts w:hint="eastAsia" w:ascii="Times New Roman" w:hAnsi="Times New Roman" w:eastAsia="宋体" w:cs="Times New Roman"/>
                      <w:b/>
                      <w:i w:val="0"/>
                      <w:color w:val="auto"/>
                      <w:sz w:val="21"/>
                      <w:szCs w:val="21"/>
                      <w:lang w:bidi="ar"/>
                      <w14:ligatures w14:val="standardContextual"/>
                    </w:rPr>
                    <w:t>形状</w:t>
                  </w:r>
                </w:p>
              </w:tc>
              <w:tc>
                <w:tcPr>
                  <w:tcW w:w="2044" w:type="dxa"/>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6D748B62">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sz w:val="21"/>
                      <w:szCs w:val="21"/>
                      <w14:ligatures w14:val="standardContextual"/>
                    </w:rPr>
                  </w:pPr>
                  <w:r>
                    <w:rPr>
                      <w:rFonts w:hint="eastAsia" w:ascii="Times New Roman" w:hAnsi="Times New Roman" w:eastAsia="宋体" w:cs="Times New Roman"/>
                      <w:b/>
                      <w:i w:val="0"/>
                      <w:color w:val="auto"/>
                      <w:sz w:val="21"/>
                      <w:szCs w:val="21"/>
                      <w:lang w:bidi="ar"/>
                      <w14:ligatures w14:val="standardContextual"/>
                    </w:rPr>
                    <w:t>背景颜色</w:t>
                  </w:r>
                </w:p>
              </w:tc>
              <w:tc>
                <w:tcPr>
                  <w:tcW w:w="2044" w:type="dxa"/>
                  <w:tcBorders>
                    <w:top w:val="single" w:color="auto" w:sz="12" w:space="0"/>
                    <w:bottom w:val="single" w:color="auto" w:sz="12" w:space="0"/>
                    <w:right w:val="nil"/>
                    <w:insideH w:val="single" w:sz="12" w:space="0"/>
                    <w:insideV w:val="single" w:sz="4" w:space="0"/>
                    <w:tl2br w:val="nil"/>
                    <w:tr2bl w:val="nil"/>
                  </w:tcBorders>
                  <w:vAlign w:val="center"/>
                </w:tcPr>
                <w:p w14:paraId="2B140D63">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sz w:val="21"/>
                      <w:szCs w:val="21"/>
                      <w14:ligatures w14:val="standardContextual"/>
                    </w:rPr>
                  </w:pPr>
                  <w:r>
                    <w:rPr>
                      <w:rFonts w:hint="eastAsia" w:ascii="Times New Roman" w:hAnsi="Times New Roman" w:eastAsia="宋体" w:cs="Times New Roman"/>
                      <w:b/>
                      <w:i w:val="0"/>
                      <w:color w:val="auto"/>
                      <w:sz w:val="21"/>
                      <w:szCs w:val="21"/>
                      <w:lang w:bidi="ar"/>
                      <w14:ligatures w14:val="standardContextual"/>
                    </w:rPr>
                    <w:t>图形颜色</w:t>
                  </w:r>
                </w:p>
              </w:tc>
            </w:tr>
            <w:tr w14:paraId="1A1878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59" w:hRule="atLeast"/>
                <w:jc w:val="center"/>
              </w:trPr>
              <w:tc>
                <w:tcPr>
                  <w:tcW w:w="2388" w:type="dxa"/>
                  <w:vAlign w:val="center"/>
                </w:tcPr>
                <w:p w14:paraId="6243C740">
                  <w:pPr>
                    <w:widowControl w:val="0"/>
                    <w:overflowPunct w:val="0"/>
                    <w:autoSpaceDE w:val="0"/>
                    <w:autoSpaceDN w:val="0"/>
                    <w:snapToGrid w:val="0"/>
                    <w:jc w:val="center"/>
                    <w:rPr>
                      <w:color w:val="auto"/>
                      <w14:ligatures w14:val="standardContextual"/>
                    </w:rPr>
                  </w:pPr>
                  <w:r>
                    <w:rPr>
                      <w:rFonts w:hint="eastAsia"/>
                      <w:color w:val="auto"/>
                      <w:lang w:bidi="ar"/>
                      <w14:ligatures w14:val="standardContextual"/>
                    </w:rPr>
                    <w:t>警告标志</w:t>
                  </w:r>
                </w:p>
              </w:tc>
              <w:tc>
                <w:tcPr>
                  <w:tcW w:w="2043" w:type="dxa"/>
                  <w:vAlign w:val="center"/>
                </w:tcPr>
                <w:p w14:paraId="5D3FC514">
                  <w:pPr>
                    <w:widowControl w:val="0"/>
                    <w:overflowPunct w:val="0"/>
                    <w:autoSpaceDE w:val="0"/>
                    <w:autoSpaceDN w:val="0"/>
                    <w:snapToGrid w:val="0"/>
                    <w:jc w:val="center"/>
                    <w:rPr>
                      <w:color w:val="auto"/>
                      <w14:ligatures w14:val="standardContextual"/>
                    </w:rPr>
                  </w:pPr>
                  <w:r>
                    <w:rPr>
                      <w:rFonts w:hint="eastAsia"/>
                      <w:color w:val="auto"/>
                      <w:lang w:bidi="ar"/>
                      <w14:ligatures w14:val="standardContextual"/>
                    </w:rPr>
                    <w:t>三角形边框</w:t>
                  </w:r>
                </w:p>
              </w:tc>
              <w:tc>
                <w:tcPr>
                  <w:tcW w:w="2044" w:type="dxa"/>
                  <w:vAlign w:val="center"/>
                </w:tcPr>
                <w:p w14:paraId="72788081">
                  <w:pPr>
                    <w:widowControl w:val="0"/>
                    <w:overflowPunct w:val="0"/>
                    <w:autoSpaceDE w:val="0"/>
                    <w:autoSpaceDN w:val="0"/>
                    <w:snapToGrid w:val="0"/>
                    <w:jc w:val="center"/>
                    <w:rPr>
                      <w:color w:val="auto"/>
                      <w14:ligatures w14:val="standardContextual"/>
                    </w:rPr>
                  </w:pPr>
                  <w:r>
                    <w:rPr>
                      <w:rFonts w:hint="eastAsia"/>
                      <w:color w:val="auto"/>
                      <w:lang w:bidi="ar"/>
                      <w14:ligatures w14:val="standardContextual"/>
                    </w:rPr>
                    <w:t>黄色</w:t>
                  </w:r>
                </w:p>
              </w:tc>
              <w:tc>
                <w:tcPr>
                  <w:tcW w:w="2044" w:type="dxa"/>
                  <w:vAlign w:val="center"/>
                </w:tcPr>
                <w:p w14:paraId="13E6D8D1">
                  <w:pPr>
                    <w:widowControl w:val="0"/>
                    <w:overflowPunct w:val="0"/>
                    <w:autoSpaceDE w:val="0"/>
                    <w:autoSpaceDN w:val="0"/>
                    <w:snapToGrid w:val="0"/>
                    <w:jc w:val="center"/>
                    <w:rPr>
                      <w:color w:val="auto"/>
                      <w14:ligatures w14:val="standardContextual"/>
                    </w:rPr>
                  </w:pPr>
                  <w:r>
                    <w:rPr>
                      <w:rFonts w:hint="eastAsia"/>
                      <w:color w:val="auto"/>
                      <w:lang w:bidi="ar"/>
                      <w14:ligatures w14:val="standardContextual"/>
                    </w:rPr>
                    <w:t>黑色</w:t>
                  </w:r>
                </w:p>
              </w:tc>
            </w:tr>
            <w:tr w14:paraId="3AC471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76" w:hRule="atLeast"/>
                <w:jc w:val="center"/>
              </w:trPr>
              <w:tc>
                <w:tcPr>
                  <w:tcW w:w="2388" w:type="dxa"/>
                  <w:vAlign w:val="center"/>
                </w:tcPr>
                <w:p w14:paraId="37D1F2A0">
                  <w:pPr>
                    <w:widowControl w:val="0"/>
                    <w:overflowPunct w:val="0"/>
                    <w:autoSpaceDE w:val="0"/>
                    <w:autoSpaceDN w:val="0"/>
                    <w:snapToGrid w:val="0"/>
                    <w:jc w:val="center"/>
                    <w:rPr>
                      <w:color w:val="auto"/>
                      <w14:ligatures w14:val="standardContextual"/>
                    </w:rPr>
                  </w:pPr>
                  <w:r>
                    <w:rPr>
                      <w:rFonts w:hint="eastAsia"/>
                      <w:color w:val="auto"/>
                      <w:lang w:bidi="ar"/>
                      <w14:ligatures w14:val="standardContextual"/>
                    </w:rPr>
                    <w:t>提示标志</w:t>
                  </w:r>
                </w:p>
              </w:tc>
              <w:tc>
                <w:tcPr>
                  <w:tcW w:w="2043" w:type="dxa"/>
                  <w:vAlign w:val="center"/>
                </w:tcPr>
                <w:p w14:paraId="0C55C0F7">
                  <w:pPr>
                    <w:widowControl w:val="0"/>
                    <w:overflowPunct w:val="0"/>
                    <w:autoSpaceDE w:val="0"/>
                    <w:autoSpaceDN w:val="0"/>
                    <w:snapToGrid w:val="0"/>
                    <w:jc w:val="center"/>
                    <w:rPr>
                      <w:color w:val="auto"/>
                      <w14:ligatures w14:val="standardContextual"/>
                    </w:rPr>
                  </w:pPr>
                  <w:r>
                    <w:rPr>
                      <w:rFonts w:hint="eastAsia"/>
                      <w:color w:val="auto"/>
                      <w:lang w:bidi="ar"/>
                      <w14:ligatures w14:val="standardContextual"/>
                    </w:rPr>
                    <w:t>正方形边框</w:t>
                  </w:r>
                </w:p>
              </w:tc>
              <w:tc>
                <w:tcPr>
                  <w:tcW w:w="2044" w:type="dxa"/>
                  <w:vAlign w:val="center"/>
                </w:tcPr>
                <w:p w14:paraId="50D8793B">
                  <w:pPr>
                    <w:widowControl w:val="0"/>
                    <w:overflowPunct w:val="0"/>
                    <w:autoSpaceDE w:val="0"/>
                    <w:autoSpaceDN w:val="0"/>
                    <w:snapToGrid w:val="0"/>
                    <w:jc w:val="center"/>
                    <w:rPr>
                      <w:color w:val="auto"/>
                      <w14:ligatures w14:val="standardContextual"/>
                    </w:rPr>
                  </w:pPr>
                  <w:r>
                    <w:rPr>
                      <w:rFonts w:hint="eastAsia"/>
                      <w:color w:val="auto"/>
                      <w:lang w:bidi="ar"/>
                      <w14:ligatures w14:val="standardContextual"/>
                    </w:rPr>
                    <w:t>绿色</w:t>
                  </w:r>
                </w:p>
              </w:tc>
              <w:tc>
                <w:tcPr>
                  <w:tcW w:w="2044" w:type="dxa"/>
                  <w:vAlign w:val="center"/>
                </w:tcPr>
                <w:p w14:paraId="1BAF9A70">
                  <w:pPr>
                    <w:widowControl w:val="0"/>
                    <w:overflowPunct w:val="0"/>
                    <w:autoSpaceDE w:val="0"/>
                    <w:autoSpaceDN w:val="0"/>
                    <w:snapToGrid w:val="0"/>
                    <w:jc w:val="center"/>
                    <w:rPr>
                      <w:color w:val="auto"/>
                      <w14:ligatures w14:val="standardContextual"/>
                    </w:rPr>
                  </w:pPr>
                  <w:r>
                    <w:rPr>
                      <w:rFonts w:hint="eastAsia"/>
                      <w:color w:val="auto"/>
                      <w:lang w:bidi="ar"/>
                      <w14:ligatures w14:val="standardContextual"/>
                    </w:rPr>
                    <w:t>白色</w:t>
                  </w:r>
                </w:p>
              </w:tc>
            </w:tr>
          </w:tbl>
          <w:p w14:paraId="1D446D1D">
            <w:pPr>
              <w:pStyle w:val="49"/>
              <w:rPr>
                <w:color w:val="auto"/>
              </w:rPr>
            </w:pPr>
            <w:r>
              <w:rPr>
                <w:rFonts w:hint="eastAsia"/>
                <w:color w:val="auto"/>
              </w:rPr>
              <w:t xml:space="preserve">表4- </w:t>
            </w:r>
            <w:r>
              <w:rPr>
                <w:color w:val="auto"/>
              </w:rPr>
              <w:t>19</w:t>
            </w:r>
            <w:r>
              <w:rPr>
                <w:rFonts w:hint="eastAsia"/>
                <w:color w:val="auto"/>
              </w:rPr>
              <w:t>：环境保护图形符号一览表</w:t>
            </w:r>
          </w:p>
          <w:tbl>
            <w:tblPr>
              <w:tblStyle w:val="50"/>
              <w:tblW w:w="793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541"/>
              <w:gridCol w:w="1604"/>
              <w:gridCol w:w="1412"/>
              <w:gridCol w:w="1363"/>
              <w:gridCol w:w="3018"/>
            </w:tblGrid>
            <w:tr w14:paraId="4ACD92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553" w:type="dxa"/>
                  <w:tcBorders>
                    <w:top w:val="single" w:color="auto" w:sz="12" w:space="0"/>
                    <w:left w:val="nil"/>
                    <w:bottom w:val="single" w:color="auto" w:sz="12" w:space="0"/>
                    <w:right w:val="single" w:color="auto" w:sz="4" w:space="0"/>
                    <w:insideH w:val="single" w:sz="12" w:space="0"/>
                    <w:insideV w:val="single" w:sz="4" w:space="0"/>
                    <w:tl2br w:val="nil"/>
                    <w:tr2bl w:val="nil"/>
                  </w:tcBorders>
                  <w:vAlign w:val="center"/>
                </w:tcPr>
                <w:p w14:paraId="651AAAEE">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sz w:val="21"/>
                      <w:szCs w:val="21"/>
                      <w14:ligatures w14:val="standardContextual"/>
                    </w:rPr>
                  </w:pPr>
                  <w:r>
                    <w:rPr>
                      <w:rFonts w:hint="default" w:ascii="Times New Roman" w:hAnsi="Times New Roman" w:eastAsia="宋体" w:cs="Times New Roman"/>
                      <w:b/>
                      <w:i w:val="0"/>
                      <w:color w:val="auto"/>
                      <w:sz w:val="21"/>
                      <w:szCs w:val="21"/>
                      <w:lang w:bidi="ar"/>
                      <w14:ligatures w14:val="standardContextual"/>
                    </w:rPr>
                    <w:t>序号</w:t>
                  </w:r>
                </w:p>
              </w:tc>
              <w:tc>
                <w:tcPr>
                  <w:tcW w:w="1607" w:type="dxa"/>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4B1C4B8B">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sz w:val="21"/>
                      <w:szCs w:val="21"/>
                      <w14:ligatures w14:val="standardContextual"/>
                    </w:rPr>
                  </w:pPr>
                  <w:r>
                    <w:rPr>
                      <w:rFonts w:hint="default" w:ascii="Times New Roman" w:hAnsi="Times New Roman" w:eastAsia="宋体" w:cs="Times New Roman"/>
                      <w:b/>
                      <w:i w:val="0"/>
                      <w:color w:val="auto"/>
                      <w:sz w:val="21"/>
                      <w:szCs w:val="21"/>
                      <w:lang w:bidi="ar"/>
                      <w14:ligatures w14:val="standardContextual"/>
                    </w:rPr>
                    <w:t>提示图标符号</w:t>
                  </w:r>
                </w:p>
              </w:tc>
              <w:tc>
                <w:tcPr>
                  <w:tcW w:w="1426" w:type="dxa"/>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178B0098">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sz w:val="21"/>
                      <w:szCs w:val="21"/>
                      <w14:ligatures w14:val="standardContextual"/>
                    </w:rPr>
                  </w:pPr>
                  <w:r>
                    <w:rPr>
                      <w:rFonts w:hint="default" w:ascii="Times New Roman" w:hAnsi="Times New Roman" w:eastAsia="宋体" w:cs="Times New Roman"/>
                      <w:b/>
                      <w:i w:val="0"/>
                      <w:color w:val="auto"/>
                      <w:sz w:val="21"/>
                      <w:szCs w:val="21"/>
                      <w:lang w:bidi="ar"/>
                      <w14:ligatures w14:val="standardContextual"/>
                    </w:rPr>
                    <w:t>警告图标符号</w:t>
                  </w:r>
                </w:p>
              </w:tc>
              <w:tc>
                <w:tcPr>
                  <w:tcW w:w="1421" w:type="dxa"/>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4AA28CAD">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sz w:val="21"/>
                      <w:szCs w:val="21"/>
                      <w14:ligatures w14:val="standardContextual"/>
                    </w:rPr>
                  </w:pPr>
                  <w:r>
                    <w:rPr>
                      <w:rFonts w:hint="default" w:ascii="Times New Roman" w:hAnsi="Times New Roman" w:eastAsia="宋体" w:cs="Times New Roman"/>
                      <w:b/>
                      <w:i w:val="0"/>
                      <w:color w:val="auto"/>
                      <w:sz w:val="21"/>
                      <w:szCs w:val="21"/>
                      <w:lang w:bidi="ar"/>
                      <w14:ligatures w14:val="standardContextual"/>
                    </w:rPr>
                    <w:t>名称</w:t>
                  </w:r>
                </w:p>
              </w:tc>
              <w:tc>
                <w:tcPr>
                  <w:tcW w:w="3158" w:type="dxa"/>
                  <w:tcBorders>
                    <w:top w:val="single" w:color="auto" w:sz="12" w:space="0"/>
                    <w:bottom w:val="single" w:color="auto" w:sz="12" w:space="0"/>
                    <w:right w:val="nil"/>
                    <w:insideH w:val="single" w:sz="12" w:space="0"/>
                    <w:insideV w:val="single" w:sz="4" w:space="0"/>
                    <w:tl2br w:val="nil"/>
                    <w:tr2bl w:val="nil"/>
                  </w:tcBorders>
                  <w:vAlign w:val="center"/>
                </w:tcPr>
                <w:p w14:paraId="58FBB14C">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sz w:val="21"/>
                      <w:szCs w:val="21"/>
                      <w14:ligatures w14:val="standardContextual"/>
                    </w:rPr>
                  </w:pPr>
                  <w:r>
                    <w:rPr>
                      <w:rFonts w:hint="default" w:ascii="Times New Roman" w:hAnsi="Times New Roman" w:eastAsia="宋体" w:cs="Times New Roman"/>
                      <w:b/>
                      <w:i w:val="0"/>
                      <w:color w:val="auto"/>
                      <w:sz w:val="21"/>
                      <w:szCs w:val="21"/>
                      <w:lang w:bidi="ar"/>
                      <w14:ligatures w14:val="standardContextual"/>
                    </w:rPr>
                    <w:t>功能</w:t>
                  </w:r>
                </w:p>
              </w:tc>
            </w:tr>
            <w:tr w14:paraId="02B98D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553" w:type="dxa"/>
                  <w:vAlign w:val="center"/>
                </w:tcPr>
                <w:p w14:paraId="4B75E1BE">
                  <w:pPr>
                    <w:widowControl w:val="0"/>
                    <w:overflowPunct w:val="0"/>
                    <w:autoSpaceDE w:val="0"/>
                    <w:autoSpaceDN w:val="0"/>
                    <w:snapToGrid w:val="0"/>
                    <w:jc w:val="center"/>
                    <w:rPr>
                      <w:color w:val="auto"/>
                      <w14:ligatures w14:val="standardContextual"/>
                    </w:rPr>
                  </w:pPr>
                  <w:r>
                    <w:rPr>
                      <w:color w:val="auto"/>
                      <w:lang w:bidi="ar"/>
                      <w14:ligatures w14:val="standardContextual"/>
                    </w:rPr>
                    <w:t>1</w:t>
                  </w:r>
                </w:p>
              </w:tc>
              <w:tc>
                <w:tcPr>
                  <w:tcW w:w="1607" w:type="dxa"/>
                  <w:vAlign w:val="center"/>
                </w:tcPr>
                <w:p w14:paraId="04620095">
                  <w:pPr>
                    <w:widowControl w:val="0"/>
                    <w:overflowPunct w:val="0"/>
                    <w:autoSpaceDE w:val="0"/>
                    <w:autoSpaceDN w:val="0"/>
                    <w:snapToGrid w:val="0"/>
                    <w:jc w:val="center"/>
                    <w:rPr>
                      <w:color w:val="auto"/>
                      <w14:ligatures w14:val="standardContextual"/>
                    </w:rPr>
                  </w:pPr>
                  <w:r>
                    <w:rPr>
                      <w:color w:val="auto"/>
                      <w:lang w:bidi="ar"/>
                      <w14:ligatures w14:val="standardContextual"/>
                    </w:rPr>
                    <w:drawing>
                      <wp:inline distT="0" distB="0" distL="114300" distR="114300">
                        <wp:extent cx="561975" cy="571500"/>
                        <wp:effectExtent l="0" t="0" r="9525" b="0"/>
                        <wp:docPr id="41" name="图片 25"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5" descr="IMG_257"/>
                                <pic:cNvPicPr>
                                  <a:picLocks noChangeAspect="1"/>
                                </pic:cNvPicPr>
                              </pic:nvPicPr>
                              <pic:blipFill>
                                <a:blip r:embed="rId27"/>
                                <a:stretch>
                                  <a:fillRect/>
                                </a:stretch>
                              </pic:blipFill>
                              <pic:spPr>
                                <a:xfrm>
                                  <a:off x="0" y="0"/>
                                  <a:ext cx="561975" cy="571500"/>
                                </a:xfrm>
                                <a:prstGeom prst="rect">
                                  <a:avLst/>
                                </a:prstGeom>
                                <a:noFill/>
                                <a:ln w="9525">
                                  <a:noFill/>
                                </a:ln>
                              </pic:spPr>
                            </pic:pic>
                          </a:graphicData>
                        </a:graphic>
                      </wp:inline>
                    </w:drawing>
                  </w:r>
                </w:p>
              </w:tc>
              <w:tc>
                <w:tcPr>
                  <w:tcW w:w="1426" w:type="dxa"/>
                  <w:vAlign w:val="center"/>
                </w:tcPr>
                <w:p w14:paraId="3EBCFD57">
                  <w:pPr>
                    <w:widowControl w:val="0"/>
                    <w:overflowPunct w:val="0"/>
                    <w:autoSpaceDE w:val="0"/>
                    <w:autoSpaceDN w:val="0"/>
                    <w:snapToGrid w:val="0"/>
                    <w:jc w:val="center"/>
                    <w:rPr>
                      <w:color w:val="auto"/>
                      <w14:ligatures w14:val="standardContextual"/>
                    </w:rPr>
                  </w:pPr>
                  <w:r>
                    <w:rPr>
                      <w:color w:val="auto"/>
                      <w:lang w:bidi="ar"/>
                      <w14:ligatures w14:val="standardContextual"/>
                    </w:rPr>
                    <w:drawing>
                      <wp:inline distT="0" distB="0" distL="114300" distR="114300">
                        <wp:extent cx="542925" cy="533400"/>
                        <wp:effectExtent l="0" t="0" r="9525" b="0"/>
                        <wp:docPr id="37" name="图片 26"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6" descr="IMG_258"/>
                                <pic:cNvPicPr>
                                  <a:picLocks noChangeAspect="1"/>
                                </pic:cNvPicPr>
                              </pic:nvPicPr>
                              <pic:blipFill>
                                <a:blip r:embed="rId28"/>
                                <a:stretch>
                                  <a:fillRect/>
                                </a:stretch>
                              </pic:blipFill>
                              <pic:spPr>
                                <a:xfrm>
                                  <a:off x="0" y="0"/>
                                  <a:ext cx="542925" cy="533400"/>
                                </a:xfrm>
                                <a:prstGeom prst="rect">
                                  <a:avLst/>
                                </a:prstGeom>
                                <a:noFill/>
                                <a:ln w="9525">
                                  <a:noFill/>
                                </a:ln>
                              </pic:spPr>
                            </pic:pic>
                          </a:graphicData>
                        </a:graphic>
                      </wp:inline>
                    </w:drawing>
                  </w:r>
                </w:p>
              </w:tc>
              <w:tc>
                <w:tcPr>
                  <w:tcW w:w="1421" w:type="dxa"/>
                  <w:vAlign w:val="center"/>
                </w:tcPr>
                <w:p w14:paraId="734FC8B2">
                  <w:pPr>
                    <w:widowControl w:val="0"/>
                    <w:overflowPunct w:val="0"/>
                    <w:autoSpaceDE w:val="0"/>
                    <w:autoSpaceDN w:val="0"/>
                    <w:snapToGrid w:val="0"/>
                    <w:jc w:val="center"/>
                    <w:rPr>
                      <w:color w:val="auto"/>
                      <w14:ligatures w14:val="standardContextual"/>
                    </w:rPr>
                  </w:pPr>
                  <w:r>
                    <w:rPr>
                      <w:color w:val="auto"/>
                      <w:lang w:bidi="ar"/>
                      <w14:ligatures w14:val="standardContextual"/>
                    </w:rPr>
                    <w:t>废水排放口</w:t>
                  </w:r>
                </w:p>
              </w:tc>
              <w:tc>
                <w:tcPr>
                  <w:tcW w:w="3158" w:type="dxa"/>
                  <w:vAlign w:val="center"/>
                </w:tcPr>
                <w:p w14:paraId="56D3498D">
                  <w:pPr>
                    <w:widowControl w:val="0"/>
                    <w:overflowPunct w:val="0"/>
                    <w:autoSpaceDE w:val="0"/>
                    <w:autoSpaceDN w:val="0"/>
                    <w:snapToGrid w:val="0"/>
                    <w:jc w:val="center"/>
                    <w:rPr>
                      <w:color w:val="auto"/>
                      <w14:ligatures w14:val="standardContextual"/>
                    </w:rPr>
                  </w:pPr>
                  <w:r>
                    <w:rPr>
                      <w:color w:val="auto"/>
                      <w:lang w:bidi="ar"/>
                      <w14:ligatures w14:val="standardContextual"/>
                    </w:rPr>
                    <w:t>表示废水向水体排放</w:t>
                  </w:r>
                </w:p>
              </w:tc>
            </w:tr>
            <w:tr w14:paraId="5BC194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553" w:type="dxa"/>
                  <w:vAlign w:val="center"/>
                </w:tcPr>
                <w:p w14:paraId="23839FB1">
                  <w:pPr>
                    <w:widowControl w:val="0"/>
                    <w:overflowPunct w:val="0"/>
                    <w:autoSpaceDE w:val="0"/>
                    <w:autoSpaceDN w:val="0"/>
                    <w:snapToGrid w:val="0"/>
                    <w:jc w:val="center"/>
                    <w:rPr>
                      <w:color w:val="auto"/>
                      <w14:ligatures w14:val="standardContextual"/>
                    </w:rPr>
                  </w:pPr>
                  <w:r>
                    <w:rPr>
                      <w:color w:val="auto"/>
                      <w:lang w:bidi="ar"/>
                      <w14:ligatures w14:val="standardContextual"/>
                    </w:rPr>
                    <w:t>2</w:t>
                  </w:r>
                </w:p>
              </w:tc>
              <w:tc>
                <w:tcPr>
                  <w:tcW w:w="1607" w:type="dxa"/>
                  <w:vAlign w:val="center"/>
                </w:tcPr>
                <w:p w14:paraId="0B920553">
                  <w:pPr>
                    <w:widowControl w:val="0"/>
                    <w:overflowPunct w:val="0"/>
                    <w:autoSpaceDE w:val="0"/>
                    <w:autoSpaceDN w:val="0"/>
                    <w:snapToGrid w:val="0"/>
                    <w:jc w:val="center"/>
                    <w:rPr>
                      <w:color w:val="auto"/>
                      <w14:ligatures w14:val="standardContextual"/>
                    </w:rPr>
                  </w:pPr>
                  <w:r>
                    <w:rPr>
                      <w:color w:val="auto"/>
                      <w:lang w:bidi="ar"/>
                      <w14:ligatures w14:val="standardContextual"/>
                    </w:rPr>
                    <w:drawing>
                      <wp:inline distT="0" distB="0" distL="114300" distR="114300">
                        <wp:extent cx="542925" cy="542925"/>
                        <wp:effectExtent l="0" t="0" r="9525" b="9525"/>
                        <wp:docPr id="39" name="图片 27"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7" descr="IMG_259"/>
                                <pic:cNvPicPr>
                                  <a:picLocks noChangeAspect="1"/>
                                </pic:cNvPicPr>
                              </pic:nvPicPr>
                              <pic:blipFill>
                                <a:blip r:embed="rId29"/>
                                <a:stretch>
                                  <a:fillRect/>
                                </a:stretch>
                              </pic:blipFill>
                              <pic:spPr>
                                <a:xfrm>
                                  <a:off x="0" y="0"/>
                                  <a:ext cx="542925" cy="542925"/>
                                </a:xfrm>
                                <a:prstGeom prst="rect">
                                  <a:avLst/>
                                </a:prstGeom>
                                <a:noFill/>
                                <a:ln w="9525">
                                  <a:noFill/>
                                </a:ln>
                              </pic:spPr>
                            </pic:pic>
                          </a:graphicData>
                        </a:graphic>
                      </wp:inline>
                    </w:drawing>
                  </w:r>
                </w:p>
              </w:tc>
              <w:tc>
                <w:tcPr>
                  <w:tcW w:w="1426" w:type="dxa"/>
                  <w:vAlign w:val="center"/>
                </w:tcPr>
                <w:p w14:paraId="7BE2F839">
                  <w:pPr>
                    <w:widowControl w:val="0"/>
                    <w:overflowPunct w:val="0"/>
                    <w:autoSpaceDE w:val="0"/>
                    <w:autoSpaceDN w:val="0"/>
                    <w:snapToGrid w:val="0"/>
                    <w:jc w:val="center"/>
                    <w:rPr>
                      <w:color w:val="auto"/>
                      <w14:ligatures w14:val="standardContextual"/>
                    </w:rPr>
                  </w:pPr>
                  <w:r>
                    <w:rPr>
                      <w:color w:val="auto"/>
                      <w:lang w:bidi="ar"/>
                      <w14:ligatures w14:val="standardContextual"/>
                    </w:rPr>
                    <w:drawing>
                      <wp:inline distT="0" distB="0" distL="114300" distR="114300">
                        <wp:extent cx="571500" cy="561975"/>
                        <wp:effectExtent l="0" t="0" r="0" b="9525"/>
                        <wp:docPr id="36" name="图片 28"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8" descr="IMG_260"/>
                                <pic:cNvPicPr>
                                  <a:picLocks noChangeAspect="1"/>
                                </pic:cNvPicPr>
                              </pic:nvPicPr>
                              <pic:blipFill>
                                <a:blip r:embed="rId30"/>
                                <a:stretch>
                                  <a:fillRect/>
                                </a:stretch>
                              </pic:blipFill>
                              <pic:spPr>
                                <a:xfrm>
                                  <a:off x="0" y="0"/>
                                  <a:ext cx="571500" cy="561975"/>
                                </a:xfrm>
                                <a:prstGeom prst="rect">
                                  <a:avLst/>
                                </a:prstGeom>
                                <a:noFill/>
                                <a:ln w="9525">
                                  <a:noFill/>
                                </a:ln>
                              </pic:spPr>
                            </pic:pic>
                          </a:graphicData>
                        </a:graphic>
                      </wp:inline>
                    </w:drawing>
                  </w:r>
                </w:p>
              </w:tc>
              <w:tc>
                <w:tcPr>
                  <w:tcW w:w="1421" w:type="dxa"/>
                  <w:vAlign w:val="center"/>
                </w:tcPr>
                <w:p w14:paraId="4D598FF4">
                  <w:pPr>
                    <w:widowControl w:val="0"/>
                    <w:overflowPunct w:val="0"/>
                    <w:autoSpaceDE w:val="0"/>
                    <w:autoSpaceDN w:val="0"/>
                    <w:snapToGrid w:val="0"/>
                    <w:jc w:val="center"/>
                    <w:rPr>
                      <w:color w:val="auto"/>
                      <w14:ligatures w14:val="standardContextual"/>
                    </w:rPr>
                  </w:pPr>
                  <w:r>
                    <w:rPr>
                      <w:color w:val="auto"/>
                      <w:lang w:bidi="ar"/>
                      <w14:ligatures w14:val="standardContextual"/>
                    </w:rPr>
                    <w:t>废气排放口</w:t>
                  </w:r>
                </w:p>
              </w:tc>
              <w:tc>
                <w:tcPr>
                  <w:tcW w:w="3158" w:type="dxa"/>
                  <w:vAlign w:val="center"/>
                </w:tcPr>
                <w:p w14:paraId="7FF4572F">
                  <w:pPr>
                    <w:widowControl w:val="0"/>
                    <w:overflowPunct w:val="0"/>
                    <w:autoSpaceDE w:val="0"/>
                    <w:autoSpaceDN w:val="0"/>
                    <w:snapToGrid w:val="0"/>
                    <w:jc w:val="center"/>
                    <w:rPr>
                      <w:color w:val="auto"/>
                      <w14:ligatures w14:val="standardContextual"/>
                    </w:rPr>
                  </w:pPr>
                  <w:r>
                    <w:rPr>
                      <w:color w:val="auto"/>
                      <w:lang w:bidi="ar"/>
                      <w14:ligatures w14:val="standardContextual"/>
                    </w:rPr>
                    <w:t>表示废气大气排放</w:t>
                  </w:r>
                </w:p>
              </w:tc>
            </w:tr>
            <w:tr w14:paraId="1042FF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553" w:type="dxa"/>
                  <w:vAlign w:val="center"/>
                </w:tcPr>
                <w:p w14:paraId="2C6002C9">
                  <w:pPr>
                    <w:widowControl w:val="0"/>
                    <w:overflowPunct w:val="0"/>
                    <w:autoSpaceDE w:val="0"/>
                    <w:autoSpaceDN w:val="0"/>
                    <w:snapToGrid w:val="0"/>
                    <w:jc w:val="center"/>
                    <w:rPr>
                      <w:color w:val="auto"/>
                      <w14:ligatures w14:val="standardContextual"/>
                    </w:rPr>
                  </w:pPr>
                  <w:r>
                    <w:rPr>
                      <w:color w:val="auto"/>
                      <w:lang w:bidi="ar"/>
                      <w14:ligatures w14:val="standardContextual"/>
                    </w:rPr>
                    <w:t>3</w:t>
                  </w:r>
                </w:p>
              </w:tc>
              <w:tc>
                <w:tcPr>
                  <w:tcW w:w="1607" w:type="dxa"/>
                  <w:vAlign w:val="center"/>
                </w:tcPr>
                <w:p w14:paraId="7A5795B5">
                  <w:pPr>
                    <w:widowControl w:val="0"/>
                    <w:overflowPunct w:val="0"/>
                    <w:autoSpaceDE w:val="0"/>
                    <w:autoSpaceDN w:val="0"/>
                    <w:snapToGrid w:val="0"/>
                    <w:jc w:val="center"/>
                    <w:rPr>
                      <w:color w:val="auto"/>
                      <w14:ligatures w14:val="standardContextual"/>
                    </w:rPr>
                  </w:pPr>
                  <w:r>
                    <w:rPr>
                      <w:color w:val="auto"/>
                      <w:lang w:bidi="ar"/>
                      <w14:ligatures w14:val="standardContextual"/>
                    </w:rPr>
                    <w:drawing>
                      <wp:inline distT="0" distB="0" distL="114300" distR="114300">
                        <wp:extent cx="542925" cy="542925"/>
                        <wp:effectExtent l="0" t="0" r="9525" b="9525"/>
                        <wp:docPr id="38" name="图片 29"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9" descr="IMG_261"/>
                                <pic:cNvPicPr>
                                  <a:picLocks noChangeAspect="1"/>
                                </pic:cNvPicPr>
                              </pic:nvPicPr>
                              <pic:blipFill>
                                <a:blip r:embed="rId31"/>
                                <a:stretch>
                                  <a:fillRect/>
                                </a:stretch>
                              </pic:blipFill>
                              <pic:spPr>
                                <a:xfrm>
                                  <a:off x="0" y="0"/>
                                  <a:ext cx="542925" cy="542925"/>
                                </a:xfrm>
                                <a:prstGeom prst="rect">
                                  <a:avLst/>
                                </a:prstGeom>
                                <a:noFill/>
                                <a:ln w="9525">
                                  <a:noFill/>
                                </a:ln>
                              </pic:spPr>
                            </pic:pic>
                          </a:graphicData>
                        </a:graphic>
                      </wp:inline>
                    </w:drawing>
                  </w:r>
                </w:p>
              </w:tc>
              <w:tc>
                <w:tcPr>
                  <w:tcW w:w="1426" w:type="dxa"/>
                  <w:vAlign w:val="center"/>
                </w:tcPr>
                <w:p w14:paraId="0D1745E8">
                  <w:pPr>
                    <w:widowControl w:val="0"/>
                    <w:overflowPunct w:val="0"/>
                    <w:autoSpaceDE w:val="0"/>
                    <w:autoSpaceDN w:val="0"/>
                    <w:snapToGrid w:val="0"/>
                    <w:jc w:val="center"/>
                    <w:rPr>
                      <w:color w:val="auto"/>
                      <w14:ligatures w14:val="standardContextual"/>
                    </w:rPr>
                  </w:pPr>
                  <w:r>
                    <w:rPr>
                      <w:color w:val="auto"/>
                      <w:lang w:bidi="ar"/>
                      <w14:ligatures w14:val="standardContextual"/>
                    </w:rPr>
                    <w:drawing>
                      <wp:inline distT="0" distB="0" distL="114300" distR="114300">
                        <wp:extent cx="523875" cy="485775"/>
                        <wp:effectExtent l="0" t="0" r="9525" b="9525"/>
                        <wp:docPr id="40" name="图片 30"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0" descr="IMG_262"/>
                                <pic:cNvPicPr>
                                  <a:picLocks noChangeAspect="1"/>
                                </pic:cNvPicPr>
                              </pic:nvPicPr>
                              <pic:blipFill>
                                <a:blip r:embed="rId32"/>
                                <a:stretch>
                                  <a:fillRect/>
                                </a:stretch>
                              </pic:blipFill>
                              <pic:spPr>
                                <a:xfrm>
                                  <a:off x="0" y="0"/>
                                  <a:ext cx="523875" cy="485775"/>
                                </a:xfrm>
                                <a:prstGeom prst="rect">
                                  <a:avLst/>
                                </a:prstGeom>
                                <a:noFill/>
                                <a:ln w="9525">
                                  <a:noFill/>
                                </a:ln>
                              </pic:spPr>
                            </pic:pic>
                          </a:graphicData>
                        </a:graphic>
                      </wp:inline>
                    </w:drawing>
                  </w:r>
                </w:p>
              </w:tc>
              <w:tc>
                <w:tcPr>
                  <w:tcW w:w="1421" w:type="dxa"/>
                  <w:vAlign w:val="center"/>
                </w:tcPr>
                <w:p w14:paraId="50E18037">
                  <w:pPr>
                    <w:widowControl w:val="0"/>
                    <w:overflowPunct w:val="0"/>
                    <w:autoSpaceDE w:val="0"/>
                    <w:autoSpaceDN w:val="0"/>
                    <w:snapToGrid w:val="0"/>
                    <w:jc w:val="center"/>
                    <w:rPr>
                      <w:color w:val="auto"/>
                      <w14:ligatures w14:val="standardContextual"/>
                    </w:rPr>
                  </w:pPr>
                  <w:r>
                    <w:rPr>
                      <w:color w:val="auto"/>
                      <w:lang w:bidi="ar"/>
                      <w14:ligatures w14:val="standardContextual"/>
                    </w:rPr>
                    <w:t>一般固体废物</w:t>
                  </w:r>
                </w:p>
              </w:tc>
              <w:tc>
                <w:tcPr>
                  <w:tcW w:w="3158" w:type="dxa"/>
                  <w:vAlign w:val="center"/>
                </w:tcPr>
                <w:p w14:paraId="76009AE3">
                  <w:pPr>
                    <w:widowControl w:val="0"/>
                    <w:overflowPunct w:val="0"/>
                    <w:autoSpaceDE w:val="0"/>
                    <w:autoSpaceDN w:val="0"/>
                    <w:snapToGrid w:val="0"/>
                    <w:jc w:val="center"/>
                    <w:rPr>
                      <w:color w:val="auto"/>
                      <w14:ligatures w14:val="standardContextual"/>
                    </w:rPr>
                  </w:pPr>
                  <w:r>
                    <w:rPr>
                      <w:color w:val="auto"/>
                      <w:lang w:bidi="ar"/>
                      <w14:ligatures w14:val="standardContextual"/>
                    </w:rPr>
                    <w:t>表示一般固体废物贮存、处置场</w:t>
                  </w:r>
                </w:p>
              </w:tc>
            </w:tr>
            <w:tr w14:paraId="165804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553" w:type="dxa"/>
                  <w:vAlign w:val="center"/>
                </w:tcPr>
                <w:p w14:paraId="7556C059">
                  <w:pPr>
                    <w:widowControl w:val="0"/>
                    <w:overflowPunct w:val="0"/>
                    <w:autoSpaceDE w:val="0"/>
                    <w:autoSpaceDN w:val="0"/>
                    <w:snapToGrid w:val="0"/>
                    <w:jc w:val="center"/>
                    <w:rPr>
                      <w:color w:val="auto"/>
                      <w14:ligatures w14:val="standardContextual"/>
                    </w:rPr>
                  </w:pPr>
                  <w:r>
                    <w:rPr>
                      <w:color w:val="auto"/>
                      <w:lang w:bidi="ar"/>
                      <w14:ligatures w14:val="standardContextual"/>
                    </w:rPr>
                    <w:t>4</w:t>
                  </w:r>
                </w:p>
              </w:tc>
              <w:tc>
                <w:tcPr>
                  <w:tcW w:w="1607" w:type="dxa"/>
                  <w:vAlign w:val="center"/>
                </w:tcPr>
                <w:p w14:paraId="1C1DFAE3">
                  <w:pPr>
                    <w:widowControl w:val="0"/>
                    <w:overflowPunct w:val="0"/>
                    <w:autoSpaceDE w:val="0"/>
                    <w:autoSpaceDN w:val="0"/>
                    <w:snapToGrid w:val="0"/>
                    <w:jc w:val="center"/>
                    <w:rPr>
                      <w:color w:val="auto"/>
                      <w14:ligatures w14:val="standardContextual"/>
                    </w:rPr>
                  </w:pPr>
                  <w:r>
                    <w:rPr>
                      <w:color w:val="auto"/>
                      <w:lang w:bidi="ar"/>
                      <w14:ligatures w14:val="standardContextual"/>
                    </w:rPr>
                    <w:drawing>
                      <wp:inline distT="0" distB="0" distL="114300" distR="114300">
                        <wp:extent cx="504825" cy="504825"/>
                        <wp:effectExtent l="0" t="0" r="9525" b="9525"/>
                        <wp:docPr id="44" name="图片 31"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1" descr="IMG_263"/>
                                <pic:cNvPicPr>
                                  <a:picLocks noChangeAspect="1"/>
                                </pic:cNvPicPr>
                              </pic:nvPicPr>
                              <pic:blipFill>
                                <a:blip r:embed="rId33"/>
                                <a:stretch>
                                  <a:fillRect/>
                                </a:stretch>
                              </pic:blipFill>
                              <pic:spPr>
                                <a:xfrm>
                                  <a:off x="0" y="0"/>
                                  <a:ext cx="504825" cy="504825"/>
                                </a:xfrm>
                                <a:prstGeom prst="rect">
                                  <a:avLst/>
                                </a:prstGeom>
                                <a:noFill/>
                                <a:ln w="9525">
                                  <a:noFill/>
                                </a:ln>
                              </pic:spPr>
                            </pic:pic>
                          </a:graphicData>
                        </a:graphic>
                      </wp:inline>
                    </w:drawing>
                  </w:r>
                </w:p>
              </w:tc>
              <w:tc>
                <w:tcPr>
                  <w:tcW w:w="1426" w:type="dxa"/>
                  <w:vAlign w:val="center"/>
                </w:tcPr>
                <w:p w14:paraId="452EA750">
                  <w:pPr>
                    <w:widowControl w:val="0"/>
                    <w:overflowPunct w:val="0"/>
                    <w:autoSpaceDE w:val="0"/>
                    <w:autoSpaceDN w:val="0"/>
                    <w:snapToGrid w:val="0"/>
                    <w:jc w:val="center"/>
                    <w:rPr>
                      <w:color w:val="auto"/>
                      <w14:ligatures w14:val="standardContextual"/>
                    </w:rPr>
                  </w:pPr>
                  <w:r>
                    <w:rPr>
                      <w:color w:val="auto"/>
                      <w:lang w:bidi="ar"/>
                      <w14:ligatures w14:val="standardContextual"/>
                    </w:rPr>
                    <w:drawing>
                      <wp:inline distT="0" distB="0" distL="114300" distR="114300">
                        <wp:extent cx="657225" cy="581025"/>
                        <wp:effectExtent l="0" t="0" r="9525" b="9525"/>
                        <wp:docPr id="45" name="图片 32"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2" descr="IMG_264"/>
                                <pic:cNvPicPr>
                                  <a:picLocks noChangeAspect="1"/>
                                </pic:cNvPicPr>
                              </pic:nvPicPr>
                              <pic:blipFill>
                                <a:blip r:embed="rId34"/>
                                <a:stretch>
                                  <a:fillRect/>
                                </a:stretch>
                              </pic:blipFill>
                              <pic:spPr>
                                <a:xfrm>
                                  <a:off x="0" y="0"/>
                                  <a:ext cx="657225" cy="581025"/>
                                </a:xfrm>
                                <a:prstGeom prst="rect">
                                  <a:avLst/>
                                </a:prstGeom>
                                <a:noFill/>
                                <a:ln w="9525">
                                  <a:noFill/>
                                </a:ln>
                              </pic:spPr>
                            </pic:pic>
                          </a:graphicData>
                        </a:graphic>
                      </wp:inline>
                    </w:drawing>
                  </w:r>
                </w:p>
              </w:tc>
              <w:tc>
                <w:tcPr>
                  <w:tcW w:w="1421" w:type="dxa"/>
                  <w:vAlign w:val="center"/>
                </w:tcPr>
                <w:p w14:paraId="29D58187">
                  <w:pPr>
                    <w:widowControl w:val="0"/>
                    <w:overflowPunct w:val="0"/>
                    <w:autoSpaceDE w:val="0"/>
                    <w:autoSpaceDN w:val="0"/>
                    <w:snapToGrid w:val="0"/>
                    <w:jc w:val="center"/>
                    <w:rPr>
                      <w:color w:val="auto"/>
                      <w14:ligatures w14:val="standardContextual"/>
                    </w:rPr>
                  </w:pPr>
                  <w:r>
                    <w:rPr>
                      <w:color w:val="auto"/>
                      <w:lang w:bidi="ar"/>
                      <w14:ligatures w14:val="standardContextual"/>
                    </w:rPr>
                    <w:t>噪声排放源</w:t>
                  </w:r>
                </w:p>
              </w:tc>
              <w:tc>
                <w:tcPr>
                  <w:tcW w:w="3158" w:type="dxa"/>
                  <w:vAlign w:val="center"/>
                </w:tcPr>
                <w:p w14:paraId="7ED6ED3C">
                  <w:pPr>
                    <w:widowControl w:val="0"/>
                    <w:overflowPunct w:val="0"/>
                    <w:autoSpaceDE w:val="0"/>
                    <w:autoSpaceDN w:val="0"/>
                    <w:snapToGrid w:val="0"/>
                    <w:jc w:val="center"/>
                    <w:rPr>
                      <w:color w:val="auto"/>
                      <w14:ligatures w14:val="standardContextual"/>
                    </w:rPr>
                  </w:pPr>
                  <w:r>
                    <w:rPr>
                      <w:color w:val="auto"/>
                      <w:lang w:bidi="ar"/>
                      <w14:ligatures w14:val="standardContextual"/>
                    </w:rPr>
                    <w:t>表示噪声向环境排放</w:t>
                  </w:r>
                </w:p>
              </w:tc>
            </w:tr>
            <w:tr w14:paraId="0B6AE1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553" w:type="dxa"/>
                  <w:vAlign w:val="center"/>
                </w:tcPr>
                <w:p w14:paraId="49BCAC19">
                  <w:pPr>
                    <w:widowControl w:val="0"/>
                    <w:overflowPunct w:val="0"/>
                    <w:autoSpaceDE w:val="0"/>
                    <w:autoSpaceDN w:val="0"/>
                    <w:snapToGrid w:val="0"/>
                    <w:jc w:val="center"/>
                    <w:rPr>
                      <w:color w:val="auto"/>
                      <w14:ligatures w14:val="standardContextual"/>
                    </w:rPr>
                  </w:pPr>
                  <w:r>
                    <w:rPr>
                      <w:color w:val="auto"/>
                      <w:lang w:bidi="ar"/>
                      <w14:ligatures w14:val="standardContextual"/>
                    </w:rPr>
                    <w:t>5</w:t>
                  </w:r>
                </w:p>
              </w:tc>
              <w:tc>
                <w:tcPr>
                  <w:tcW w:w="1607" w:type="dxa"/>
                  <w:vAlign w:val="center"/>
                </w:tcPr>
                <w:p w14:paraId="66231871">
                  <w:pPr>
                    <w:widowControl w:val="0"/>
                    <w:overflowPunct w:val="0"/>
                    <w:autoSpaceDE w:val="0"/>
                    <w:autoSpaceDN w:val="0"/>
                    <w:snapToGrid w:val="0"/>
                    <w:jc w:val="center"/>
                    <w:rPr>
                      <w:color w:val="auto"/>
                      <w14:ligatures w14:val="standardContextual"/>
                    </w:rPr>
                  </w:pPr>
                  <w:r>
                    <w:rPr>
                      <w:color w:val="auto"/>
                      <w14:ligatures w14:val="standardContextual"/>
                    </w:rPr>
                    <w:drawing>
                      <wp:inline distT="0" distB="0" distL="114300" distR="114300">
                        <wp:extent cx="901065" cy="568960"/>
                        <wp:effectExtent l="0" t="0" r="13335"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5"/>
                                <a:stretch>
                                  <a:fillRect/>
                                </a:stretch>
                              </pic:blipFill>
                              <pic:spPr>
                                <a:xfrm>
                                  <a:off x="0" y="0"/>
                                  <a:ext cx="901065" cy="568960"/>
                                </a:xfrm>
                                <a:prstGeom prst="rect">
                                  <a:avLst/>
                                </a:prstGeom>
                                <a:noFill/>
                                <a:ln>
                                  <a:noFill/>
                                </a:ln>
                              </pic:spPr>
                            </pic:pic>
                          </a:graphicData>
                        </a:graphic>
                      </wp:inline>
                    </w:drawing>
                  </w:r>
                </w:p>
              </w:tc>
              <w:tc>
                <w:tcPr>
                  <w:tcW w:w="1426" w:type="dxa"/>
                  <w:vAlign w:val="center"/>
                </w:tcPr>
                <w:p w14:paraId="6B6D8D53">
                  <w:pPr>
                    <w:widowControl w:val="0"/>
                    <w:overflowPunct w:val="0"/>
                    <w:autoSpaceDE w:val="0"/>
                    <w:autoSpaceDN w:val="0"/>
                    <w:snapToGrid w:val="0"/>
                    <w:jc w:val="center"/>
                    <w:rPr>
                      <w:color w:val="auto"/>
                      <w14:ligatures w14:val="standardContextual"/>
                    </w:rPr>
                  </w:pPr>
                  <w:r>
                    <w:rPr>
                      <w:color w:val="auto"/>
                      <w14:ligatures w14:val="standardContextual"/>
                    </w:rPr>
                    <w:drawing>
                      <wp:inline distT="0" distB="0" distL="0" distR="0">
                        <wp:extent cx="658495" cy="579120"/>
                        <wp:effectExtent l="0" t="0" r="8255" b="0"/>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658800" cy="579600"/>
                                </a:xfrm>
                                <a:prstGeom prst="rect">
                                  <a:avLst/>
                                </a:prstGeom>
                                <a:noFill/>
                                <a:ln w="9525">
                                  <a:noFill/>
                                </a:ln>
                              </pic:spPr>
                            </pic:pic>
                          </a:graphicData>
                        </a:graphic>
                      </wp:inline>
                    </w:drawing>
                  </w:r>
                </w:p>
              </w:tc>
              <w:tc>
                <w:tcPr>
                  <w:tcW w:w="1421" w:type="dxa"/>
                  <w:vAlign w:val="center"/>
                </w:tcPr>
                <w:p w14:paraId="64D3A708">
                  <w:pPr>
                    <w:widowControl w:val="0"/>
                    <w:overflowPunct w:val="0"/>
                    <w:autoSpaceDE w:val="0"/>
                    <w:autoSpaceDN w:val="0"/>
                    <w:snapToGrid w:val="0"/>
                    <w:jc w:val="center"/>
                    <w:rPr>
                      <w:color w:val="auto"/>
                      <w14:ligatures w14:val="standardContextual"/>
                    </w:rPr>
                  </w:pPr>
                  <w:r>
                    <w:rPr>
                      <w:color w:val="auto"/>
                      <w:lang w:bidi="ar"/>
                      <w14:ligatures w14:val="standardContextual"/>
                    </w:rPr>
                    <w:t>危险废物</w:t>
                  </w:r>
                </w:p>
              </w:tc>
              <w:tc>
                <w:tcPr>
                  <w:tcW w:w="3158" w:type="dxa"/>
                  <w:vAlign w:val="center"/>
                </w:tcPr>
                <w:p w14:paraId="26BBBDBE">
                  <w:pPr>
                    <w:widowControl w:val="0"/>
                    <w:overflowPunct w:val="0"/>
                    <w:autoSpaceDE w:val="0"/>
                    <w:autoSpaceDN w:val="0"/>
                    <w:snapToGrid w:val="0"/>
                    <w:jc w:val="center"/>
                    <w:rPr>
                      <w:color w:val="auto"/>
                      <w14:ligatures w14:val="standardContextual"/>
                    </w:rPr>
                  </w:pPr>
                  <w:r>
                    <w:rPr>
                      <w:color w:val="auto"/>
                      <w:lang w:bidi="ar"/>
                      <w14:ligatures w14:val="standardContextual"/>
                    </w:rPr>
                    <w:t>表示危险废物贮存、处置场</w:t>
                  </w:r>
                </w:p>
              </w:tc>
            </w:tr>
          </w:tbl>
          <w:p w14:paraId="657BF055">
            <w:pPr>
              <w:pStyle w:val="7"/>
              <w:rPr>
                <w:color w:val="auto"/>
              </w:rPr>
            </w:pPr>
            <w:r>
              <w:rPr>
                <w:rFonts w:hint="eastAsia"/>
                <w:color w:val="auto"/>
              </w:rPr>
              <w:t>十、环保投资</w:t>
            </w:r>
          </w:p>
          <w:p w14:paraId="5637DD50">
            <w:pPr>
              <w:pStyle w:val="3"/>
              <w:ind w:firstLine="480"/>
              <w:rPr>
                <w:color w:val="auto"/>
              </w:rPr>
            </w:pPr>
            <w:r>
              <w:rPr>
                <w:rFonts w:hint="eastAsia"/>
                <w:color w:val="auto"/>
              </w:rPr>
              <w:t>本项目实施后运营期监测计划如下：</w:t>
            </w:r>
          </w:p>
          <w:p w14:paraId="407DCFE4">
            <w:pPr>
              <w:pStyle w:val="49"/>
              <w:rPr>
                <w:color w:val="auto"/>
              </w:rPr>
            </w:pPr>
            <w:r>
              <w:rPr>
                <w:rFonts w:hint="eastAsia"/>
                <w:color w:val="auto"/>
              </w:rPr>
              <w:t xml:space="preserve">表4- </w:t>
            </w:r>
            <w:r>
              <w:rPr>
                <w:color w:val="auto"/>
              </w:rPr>
              <w:t>20</w:t>
            </w:r>
            <w:r>
              <w:rPr>
                <w:rFonts w:hint="eastAsia"/>
                <w:color w:val="auto"/>
              </w:rPr>
              <w:t>：环保投资一览表</w:t>
            </w:r>
          </w:p>
          <w:tbl>
            <w:tblPr>
              <w:tblStyle w:val="5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1199"/>
              <w:gridCol w:w="5107"/>
              <w:gridCol w:w="1644"/>
            </w:tblGrid>
            <w:tr w14:paraId="6C15DE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754" w:type="pct"/>
                  <w:tcBorders>
                    <w:top w:val="single" w:color="auto" w:sz="12" w:space="0"/>
                    <w:left w:val="nil"/>
                    <w:bottom w:val="single" w:color="auto" w:sz="12" w:space="0"/>
                    <w:right w:val="single" w:color="auto" w:sz="4" w:space="0"/>
                    <w:insideH w:val="single" w:sz="12" w:space="0"/>
                    <w:insideV w:val="single" w:sz="4" w:space="0"/>
                    <w:tl2br w:val="nil"/>
                    <w:tr2bl w:val="nil"/>
                  </w:tcBorders>
                  <w:vAlign w:val="center"/>
                </w:tcPr>
                <w:p w14:paraId="359D3F50">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sz w:val="21"/>
                      <w:szCs w:val="21"/>
                      <w14:ligatures w14:val="standardContextual"/>
                    </w:rPr>
                  </w:pPr>
                  <w:r>
                    <w:rPr>
                      <w:rFonts w:hint="eastAsia" w:ascii="Times New Roman" w:hAnsi="Times New Roman" w:eastAsia="宋体" w:cs="Times New Roman"/>
                      <w:b/>
                      <w:i w:val="0"/>
                      <w:color w:val="auto"/>
                      <w:sz w:val="21"/>
                      <w:szCs w:val="21"/>
                      <w14:ligatures w14:val="standardContextual"/>
                    </w:rPr>
                    <w:t>名称</w:t>
                  </w:r>
                </w:p>
              </w:tc>
              <w:tc>
                <w:tcPr>
                  <w:tcW w:w="3212"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6C929F99">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sz w:val="21"/>
                      <w:szCs w:val="21"/>
                      <w14:ligatures w14:val="standardContextual"/>
                    </w:rPr>
                  </w:pPr>
                  <w:r>
                    <w:rPr>
                      <w:rFonts w:hint="eastAsia" w:ascii="Times New Roman" w:hAnsi="Times New Roman" w:eastAsia="宋体" w:cs="Times New Roman"/>
                      <w:b/>
                      <w:i w:val="0"/>
                      <w:color w:val="auto"/>
                      <w:sz w:val="21"/>
                      <w:szCs w:val="21"/>
                      <w14:ligatures w14:val="standardContextual"/>
                    </w:rPr>
                    <w:t>环保设施</w:t>
                  </w:r>
                </w:p>
              </w:tc>
              <w:tc>
                <w:tcPr>
                  <w:tcW w:w="1034" w:type="pct"/>
                  <w:tcBorders>
                    <w:top w:val="single" w:color="auto" w:sz="12" w:space="0"/>
                    <w:bottom w:val="single" w:color="auto" w:sz="12" w:space="0"/>
                    <w:right w:val="nil"/>
                    <w:insideH w:val="single" w:sz="12" w:space="0"/>
                    <w:insideV w:val="single" w:sz="4" w:space="0"/>
                    <w:tl2br w:val="nil"/>
                    <w:tr2bl w:val="nil"/>
                  </w:tcBorders>
                  <w:vAlign w:val="center"/>
                </w:tcPr>
                <w:p w14:paraId="5001B1FC">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sz w:val="21"/>
                      <w:szCs w:val="21"/>
                      <w14:ligatures w14:val="standardContextual"/>
                    </w:rPr>
                  </w:pPr>
                  <w:r>
                    <w:rPr>
                      <w:rFonts w:hint="eastAsia" w:ascii="Times New Roman" w:hAnsi="Times New Roman" w:eastAsia="宋体" w:cs="Times New Roman"/>
                      <w:b/>
                      <w:i w:val="0"/>
                      <w:color w:val="auto"/>
                      <w:sz w:val="21"/>
                      <w:szCs w:val="21"/>
                      <w14:ligatures w14:val="standardContextual"/>
                    </w:rPr>
                    <w:t>投资额</w:t>
                  </w:r>
                </w:p>
              </w:tc>
            </w:tr>
            <w:tr w14:paraId="47F014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754" w:type="pct"/>
                  <w:vAlign w:val="center"/>
                </w:tcPr>
                <w:p w14:paraId="1E0D3DD0">
                  <w:pPr>
                    <w:widowControl w:val="0"/>
                    <w:overflowPunct w:val="0"/>
                    <w:autoSpaceDE w:val="0"/>
                    <w:autoSpaceDN w:val="0"/>
                    <w:snapToGrid w:val="0"/>
                    <w:jc w:val="center"/>
                    <w:rPr>
                      <w:color w:val="auto"/>
                      <w14:ligatures w14:val="standardContextual"/>
                    </w:rPr>
                  </w:pPr>
                  <w:r>
                    <w:rPr>
                      <w:rFonts w:hint="eastAsia"/>
                      <w:color w:val="auto"/>
                      <w14:ligatures w14:val="standardContextual"/>
                    </w:rPr>
                    <w:t>废气</w:t>
                  </w:r>
                </w:p>
              </w:tc>
              <w:tc>
                <w:tcPr>
                  <w:tcW w:w="3212" w:type="pct"/>
                  <w:vAlign w:val="center"/>
                </w:tcPr>
                <w:p w14:paraId="7D0924CF">
                  <w:pPr>
                    <w:widowControl w:val="0"/>
                    <w:overflowPunct w:val="0"/>
                    <w:autoSpaceDE w:val="0"/>
                    <w:autoSpaceDN w:val="0"/>
                    <w:snapToGrid w:val="0"/>
                    <w:jc w:val="center"/>
                    <w:rPr>
                      <w:color w:val="auto"/>
                      <w14:ligatures w14:val="standardContextual"/>
                    </w:rPr>
                  </w:pPr>
                  <w:r>
                    <w:rPr>
                      <w:rFonts w:hint="eastAsia"/>
                      <w:color w:val="auto"/>
                      <w14:ligatures w14:val="standardContextual"/>
                    </w:rPr>
                    <w:t>多管旋风除尘、布袋除尘、45m排气筒</w:t>
                  </w:r>
                </w:p>
              </w:tc>
              <w:tc>
                <w:tcPr>
                  <w:tcW w:w="1034" w:type="pct"/>
                  <w:vAlign w:val="center"/>
                </w:tcPr>
                <w:p w14:paraId="62D607A4">
                  <w:pPr>
                    <w:widowControl w:val="0"/>
                    <w:overflowPunct w:val="0"/>
                    <w:autoSpaceDE w:val="0"/>
                    <w:autoSpaceDN w:val="0"/>
                    <w:snapToGrid w:val="0"/>
                    <w:jc w:val="center"/>
                    <w:rPr>
                      <w:color w:val="auto"/>
                      <w14:ligatures w14:val="standardContextual"/>
                    </w:rPr>
                  </w:pPr>
                  <w:r>
                    <w:rPr>
                      <w:rFonts w:hint="eastAsia"/>
                      <w:color w:val="auto"/>
                      <w14:ligatures w14:val="standardContextual"/>
                    </w:rPr>
                    <w:t>45</w:t>
                  </w:r>
                </w:p>
              </w:tc>
            </w:tr>
            <w:tr w14:paraId="09D0DB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754" w:type="pct"/>
                  <w:vAlign w:val="center"/>
                </w:tcPr>
                <w:p w14:paraId="605E4166">
                  <w:pPr>
                    <w:widowControl w:val="0"/>
                    <w:overflowPunct w:val="0"/>
                    <w:autoSpaceDE w:val="0"/>
                    <w:autoSpaceDN w:val="0"/>
                    <w:snapToGrid w:val="0"/>
                    <w:jc w:val="center"/>
                    <w:rPr>
                      <w:color w:val="auto"/>
                      <w14:ligatures w14:val="standardContextual"/>
                    </w:rPr>
                  </w:pPr>
                  <w:r>
                    <w:rPr>
                      <w:rFonts w:hint="eastAsia"/>
                      <w:color w:val="auto"/>
                      <w14:ligatures w14:val="standardContextual"/>
                    </w:rPr>
                    <w:t>废水</w:t>
                  </w:r>
                </w:p>
              </w:tc>
              <w:tc>
                <w:tcPr>
                  <w:tcW w:w="3212" w:type="pct"/>
                  <w:vAlign w:val="center"/>
                </w:tcPr>
                <w:p w14:paraId="1AFFC657">
                  <w:pPr>
                    <w:widowControl w:val="0"/>
                    <w:overflowPunct w:val="0"/>
                    <w:autoSpaceDE w:val="0"/>
                    <w:autoSpaceDN w:val="0"/>
                    <w:snapToGrid w:val="0"/>
                    <w:jc w:val="center"/>
                    <w:rPr>
                      <w:color w:val="auto"/>
                      <w14:ligatures w14:val="standardContextual"/>
                    </w:rPr>
                  </w:pPr>
                  <w:r>
                    <w:rPr>
                      <w:rFonts w:hint="eastAsia"/>
                      <w:color w:val="auto"/>
                      <w14:ligatures w14:val="standardContextual"/>
                    </w:rPr>
                    <w:t>化粪池</w:t>
                  </w:r>
                </w:p>
              </w:tc>
              <w:tc>
                <w:tcPr>
                  <w:tcW w:w="1034" w:type="pct"/>
                  <w:vAlign w:val="center"/>
                </w:tcPr>
                <w:p w14:paraId="6168BABD">
                  <w:pPr>
                    <w:widowControl w:val="0"/>
                    <w:overflowPunct w:val="0"/>
                    <w:autoSpaceDE w:val="0"/>
                    <w:autoSpaceDN w:val="0"/>
                    <w:snapToGrid w:val="0"/>
                    <w:jc w:val="center"/>
                    <w:rPr>
                      <w:color w:val="auto"/>
                      <w14:ligatures w14:val="standardContextual"/>
                    </w:rPr>
                  </w:pPr>
                  <w:r>
                    <w:rPr>
                      <w:rFonts w:hint="eastAsia"/>
                      <w:color w:val="auto"/>
                      <w14:ligatures w14:val="standardContextual"/>
                    </w:rPr>
                    <w:t>1</w:t>
                  </w:r>
                </w:p>
              </w:tc>
            </w:tr>
            <w:tr w14:paraId="21A862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754" w:type="pct"/>
                  <w:vAlign w:val="center"/>
                </w:tcPr>
                <w:p w14:paraId="2C78D483">
                  <w:pPr>
                    <w:widowControl w:val="0"/>
                    <w:overflowPunct w:val="0"/>
                    <w:autoSpaceDE w:val="0"/>
                    <w:autoSpaceDN w:val="0"/>
                    <w:snapToGrid w:val="0"/>
                    <w:jc w:val="center"/>
                    <w:rPr>
                      <w:color w:val="auto"/>
                      <w14:ligatures w14:val="standardContextual"/>
                    </w:rPr>
                  </w:pPr>
                  <w:r>
                    <w:rPr>
                      <w:rFonts w:hint="eastAsia"/>
                      <w:color w:val="auto"/>
                      <w14:ligatures w14:val="standardContextual"/>
                    </w:rPr>
                    <w:t>固废</w:t>
                  </w:r>
                </w:p>
              </w:tc>
              <w:tc>
                <w:tcPr>
                  <w:tcW w:w="3212" w:type="pct"/>
                  <w:vAlign w:val="center"/>
                </w:tcPr>
                <w:p w14:paraId="327D7564">
                  <w:pPr>
                    <w:widowControl w:val="0"/>
                    <w:overflowPunct w:val="0"/>
                    <w:autoSpaceDE w:val="0"/>
                    <w:autoSpaceDN w:val="0"/>
                    <w:snapToGrid w:val="0"/>
                    <w:jc w:val="center"/>
                    <w:rPr>
                      <w:color w:val="auto"/>
                      <w14:ligatures w14:val="standardContextual"/>
                    </w:rPr>
                  </w:pPr>
                  <w:r>
                    <w:rPr>
                      <w:rFonts w:hint="eastAsia"/>
                      <w:color w:val="auto"/>
                      <w14:ligatures w14:val="standardContextual"/>
                    </w:rPr>
                    <w:t>灰渣间、危废贮存库</w:t>
                  </w:r>
                </w:p>
              </w:tc>
              <w:tc>
                <w:tcPr>
                  <w:tcW w:w="1034" w:type="pct"/>
                  <w:vAlign w:val="center"/>
                </w:tcPr>
                <w:p w14:paraId="120D41F7">
                  <w:pPr>
                    <w:widowControl w:val="0"/>
                    <w:overflowPunct w:val="0"/>
                    <w:autoSpaceDE w:val="0"/>
                    <w:autoSpaceDN w:val="0"/>
                    <w:snapToGrid w:val="0"/>
                    <w:jc w:val="center"/>
                    <w:rPr>
                      <w:color w:val="auto"/>
                      <w14:ligatures w14:val="standardContextual"/>
                    </w:rPr>
                  </w:pPr>
                  <w:r>
                    <w:rPr>
                      <w:rFonts w:hint="eastAsia"/>
                      <w:color w:val="auto"/>
                      <w14:ligatures w14:val="standardContextual"/>
                    </w:rPr>
                    <w:t>4</w:t>
                  </w:r>
                </w:p>
              </w:tc>
            </w:tr>
            <w:tr w14:paraId="00E745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754" w:type="pct"/>
                  <w:vAlign w:val="center"/>
                </w:tcPr>
                <w:p w14:paraId="53E6AD94">
                  <w:pPr>
                    <w:widowControl w:val="0"/>
                    <w:overflowPunct w:val="0"/>
                    <w:autoSpaceDE w:val="0"/>
                    <w:autoSpaceDN w:val="0"/>
                    <w:snapToGrid w:val="0"/>
                    <w:jc w:val="center"/>
                    <w:rPr>
                      <w:color w:val="auto"/>
                      <w14:ligatures w14:val="standardContextual"/>
                    </w:rPr>
                  </w:pPr>
                  <w:r>
                    <w:rPr>
                      <w:rFonts w:hint="eastAsia"/>
                      <w:color w:val="auto"/>
                      <w14:ligatures w14:val="standardContextual"/>
                    </w:rPr>
                    <w:t>地下水、土壤</w:t>
                  </w:r>
                </w:p>
              </w:tc>
              <w:tc>
                <w:tcPr>
                  <w:tcW w:w="3212" w:type="pct"/>
                  <w:vAlign w:val="center"/>
                </w:tcPr>
                <w:p w14:paraId="539DDE0E">
                  <w:pPr>
                    <w:widowControl w:val="0"/>
                    <w:overflowPunct w:val="0"/>
                    <w:autoSpaceDE w:val="0"/>
                    <w:autoSpaceDN w:val="0"/>
                    <w:snapToGrid w:val="0"/>
                    <w:jc w:val="center"/>
                    <w:rPr>
                      <w:color w:val="auto"/>
                      <w14:ligatures w14:val="standardContextual"/>
                    </w:rPr>
                  </w:pPr>
                  <w:r>
                    <w:rPr>
                      <w:rFonts w:hint="eastAsia"/>
                      <w:color w:val="auto"/>
                      <w14:ligatures w14:val="standardContextual"/>
                    </w:rPr>
                    <w:t>分区防渗</w:t>
                  </w:r>
                </w:p>
              </w:tc>
              <w:tc>
                <w:tcPr>
                  <w:tcW w:w="1034" w:type="pct"/>
                  <w:vAlign w:val="center"/>
                </w:tcPr>
                <w:p w14:paraId="6A5CB060">
                  <w:pPr>
                    <w:widowControl w:val="0"/>
                    <w:overflowPunct w:val="0"/>
                    <w:autoSpaceDE w:val="0"/>
                    <w:autoSpaceDN w:val="0"/>
                    <w:snapToGrid w:val="0"/>
                    <w:jc w:val="center"/>
                    <w:rPr>
                      <w:color w:val="auto"/>
                      <w14:ligatures w14:val="standardContextual"/>
                    </w:rPr>
                  </w:pPr>
                  <w:r>
                    <w:rPr>
                      <w:rFonts w:hint="eastAsia"/>
                      <w:color w:val="auto"/>
                      <w14:ligatures w14:val="standardContextual"/>
                    </w:rPr>
                    <w:t>5</w:t>
                  </w:r>
                </w:p>
              </w:tc>
            </w:tr>
            <w:tr w14:paraId="448F6D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754" w:type="pct"/>
                  <w:vAlign w:val="center"/>
                </w:tcPr>
                <w:p w14:paraId="7EB6A0E0">
                  <w:pPr>
                    <w:widowControl w:val="0"/>
                    <w:overflowPunct w:val="0"/>
                    <w:autoSpaceDE w:val="0"/>
                    <w:autoSpaceDN w:val="0"/>
                    <w:snapToGrid w:val="0"/>
                    <w:jc w:val="center"/>
                    <w:rPr>
                      <w:color w:val="auto"/>
                      <w14:ligatures w14:val="standardContextual"/>
                    </w:rPr>
                  </w:pPr>
                  <w:r>
                    <w:rPr>
                      <w:rFonts w:hint="eastAsia"/>
                      <w:color w:val="auto"/>
                      <w14:ligatures w14:val="standardContextual"/>
                    </w:rPr>
                    <w:t>合计</w:t>
                  </w:r>
                </w:p>
              </w:tc>
              <w:tc>
                <w:tcPr>
                  <w:tcW w:w="3212" w:type="pct"/>
                  <w:vAlign w:val="center"/>
                </w:tcPr>
                <w:p w14:paraId="3F46A1B1">
                  <w:pPr>
                    <w:widowControl w:val="0"/>
                    <w:overflowPunct w:val="0"/>
                    <w:autoSpaceDE w:val="0"/>
                    <w:autoSpaceDN w:val="0"/>
                    <w:snapToGrid w:val="0"/>
                    <w:jc w:val="center"/>
                    <w:rPr>
                      <w:color w:val="auto"/>
                      <w14:ligatures w14:val="standardContextual"/>
                    </w:rPr>
                  </w:pPr>
                  <w:r>
                    <w:rPr>
                      <w:rFonts w:hint="eastAsia"/>
                      <w:color w:val="auto"/>
                      <w14:ligatures w14:val="standardContextual"/>
                    </w:rPr>
                    <w:t>/</w:t>
                  </w:r>
                </w:p>
              </w:tc>
              <w:tc>
                <w:tcPr>
                  <w:tcW w:w="1034" w:type="pct"/>
                  <w:vAlign w:val="center"/>
                </w:tcPr>
                <w:p w14:paraId="13B5E7EF">
                  <w:pPr>
                    <w:widowControl w:val="0"/>
                    <w:overflowPunct w:val="0"/>
                    <w:autoSpaceDE w:val="0"/>
                    <w:autoSpaceDN w:val="0"/>
                    <w:snapToGrid w:val="0"/>
                    <w:jc w:val="center"/>
                    <w:rPr>
                      <w:color w:val="auto"/>
                      <w14:ligatures w14:val="standardContextual"/>
                    </w:rPr>
                  </w:pPr>
                  <w:r>
                    <w:rPr>
                      <w:rFonts w:hint="eastAsia"/>
                      <w:color w:val="auto"/>
                      <w14:ligatures w14:val="standardContextual"/>
                    </w:rPr>
                    <w:t>55</w:t>
                  </w:r>
                </w:p>
              </w:tc>
            </w:tr>
          </w:tbl>
          <w:p w14:paraId="1AE25DB7">
            <w:pPr>
              <w:pStyle w:val="49"/>
              <w:rPr>
                <w:color w:val="auto"/>
              </w:rPr>
            </w:pPr>
          </w:p>
          <w:p w14:paraId="26082BC0">
            <w:pPr>
              <w:pStyle w:val="3"/>
              <w:keepNext/>
              <w:ind w:firstLine="480"/>
              <w:rPr>
                <w:color w:val="auto"/>
              </w:rPr>
            </w:pPr>
          </w:p>
        </w:tc>
      </w:tr>
    </w:tbl>
    <w:p w14:paraId="270B5C3B">
      <w:pPr>
        <w:pStyle w:val="9"/>
        <w:rPr>
          <w:rFonts w:cs="宋体"/>
          <w:b/>
          <w:sz w:val="28"/>
          <w:szCs w:val="28"/>
        </w:rPr>
        <w:sectPr>
          <w:pgSz w:w="11907" w:h="16840"/>
          <w:pgMar w:top="1701" w:right="1531" w:bottom="2127" w:left="1531" w:header="851" w:footer="851" w:gutter="0"/>
          <w:cols w:space="720" w:num="1"/>
          <w:docGrid w:linePitch="312" w:charSpace="0"/>
        </w:sectPr>
      </w:pPr>
    </w:p>
    <w:p w14:paraId="79DE0392">
      <w:pPr>
        <w:pStyle w:val="2"/>
        <w:rPr>
          <w:snapToGrid w:val="0"/>
        </w:rPr>
      </w:pPr>
      <w:bookmarkStart w:id="265" w:name="_Hlk54167917"/>
      <w:bookmarkStart w:id="266" w:name="_Toc175609277"/>
      <w:bookmarkStart w:id="267" w:name="_Toc191861463"/>
      <w:r>
        <w:rPr>
          <w:rFonts w:hint="eastAsia"/>
          <w:snapToGrid w:val="0"/>
        </w:rPr>
        <w:t>环境保护措施监督检查清单</w:t>
      </w:r>
      <w:bookmarkEnd w:id="265"/>
      <w:bookmarkEnd w:id="266"/>
      <w:bookmarkEnd w:id="267"/>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71"/>
        <w:gridCol w:w="1146"/>
        <w:gridCol w:w="1547"/>
        <w:gridCol w:w="1855"/>
        <w:gridCol w:w="3281"/>
      </w:tblGrid>
      <w:tr w14:paraId="7A2F60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71" w:type="dxa"/>
            <w:tcBorders>
              <w:tl2br w:val="single" w:color="auto" w:sz="4" w:space="0"/>
            </w:tcBorders>
            <w:vAlign w:val="center"/>
          </w:tcPr>
          <w:p w14:paraId="553BE476">
            <w:pPr>
              <w:snapToGrid w:val="0"/>
              <w:ind w:firstLine="240" w:firstLineChars="100"/>
              <w:rPr>
                <w:rFonts w:cs="宋体"/>
                <w:sz w:val="24"/>
              </w:rPr>
            </w:pPr>
            <w:r>
              <w:rPr>
                <w:rFonts w:hint="eastAsia" w:cs="宋体"/>
                <w:sz w:val="24"/>
              </w:rPr>
              <w:t>内容</w:t>
            </w:r>
          </w:p>
          <w:p w14:paraId="75B85669">
            <w:pPr>
              <w:snapToGrid w:val="0"/>
              <w:rPr>
                <w:rFonts w:cs="宋体"/>
                <w:sz w:val="24"/>
              </w:rPr>
            </w:pPr>
            <w:r>
              <w:rPr>
                <w:rFonts w:hint="eastAsia" w:cs="宋体"/>
                <w:sz w:val="24"/>
              </w:rPr>
              <w:t>要素</w:t>
            </w:r>
          </w:p>
        </w:tc>
        <w:tc>
          <w:tcPr>
            <w:tcW w:w="1146" w:type="dxa"/>
            <w:vAlign w:val="center"/>
          </w:tcPr>
          <w:p w14:paraId="3BD7E84A">
            <w:pPr>
              <w:snapToGrid w:val="0"/>
              <w:jc w:val="center"/>
              <w:rPr>
                <w:rFonts w:cs="宋体"/>
                <w:sz w:val="24"/>
              </w:rPr>
            </w:pPr>
            <w:r>
              <w:rPr>
                <w:rFonts w:hint="eastAsia" w:cs="宋体"/>
                <w:sz w:val="24"/>
              </w:rPr>
              <w:t>排放口(编号、名称)/污染源</w:t>
            </w:r>
          </w:p>
        </w:tc>
        <w:tc>
          <w:tcPr>
            <w:tcW w:w="1547" w:type="dxa"/>
            <w:vAlign w:val="center"/>
          </w:tcPr>
          <w:p w14:paraId="64F73952">
            <w:pPr>
              <w:snapToGrid w:val="0"/>
              <w:jc w:val="center"/>
              <w:rPr>
                <w:rFonts w:cs="宋体"/>
                <w:sz w:val="24"/>
              </w:rPr>
            </w:pPr>
            <w:r>
              <w:rPr>
                <w:rFonts w:hint="eastAsia" w:cs="宋体"/>
                <w:sz w:val="24"/>
              </w:rPr>
              <w:t>污染物项目</w:t>
            </w:r>
          </w:p>
        </w:tc>
        <w:tc>
          <w:tcPr>
            <w:tcW w:w="1855" w:type="dxa"/>
            <w:vAlign w:val="center"/>
          </w:tcPr>
          <w:p w14:paraId="7B5EE1D7">
            <w:pPr>
              <w:snapToGrid w:val="0"/>
              <w:jc w:val="center"/>
              <w:rPr>
                <w:rFonts w:cs="宋体"/>
                <w:sz w:val="24"/>
              </w:rPr>
            </w:pPr>
            <w:r>
              <w:rPr>
                <w:rFonts w:hint="eastAsia" w:cs="宋体"/>
                <w:sz w:val="24"/>
              </w:rPr>
              <w:t>环境保护措施</w:t>
            </w:r>
          </w:p>
        </w:tc>
        <w:tc>
          <w:tcPr>
            <w:tcW w:w="3281" w:type="dxa"/>
            <w:vAlign w:val="center"/>
          </w:tcPr>
          <w:p w14:paraId="020AFA42">
            <w:pPr>
              <w:snapToGrid w:val="0"/>
              <w:jc w:val="center"/>
              <w:rPr>
                <w:rFonts w:cs="宋体"/>
                <w:sz w:val="24"/>
              </w:rPr>
            </w:pPr>
            <w:r>
              <w:rPr>
                <w:rFonts w:hint="eastAsia" w:cs="宋体"/>
                <w:sz w:val="24"/>
              </w:rPr>
              <w:t>执行标准</w:t>
            </w:r>
          </w:p>
        </w:tc>
      </w:tr>
      <w:tr w14:paraId="03AC20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71" w:type="dxa"/>
            <w:vAlign w:val="center"/>
          </w:tcPr>
          <w:p w14:paraId="06A5A790">
            <w:pPr>
              <w:snapToGrid w:val="0"/>
              <w:jc w:val="center"/>
              <w:rPr>
                <w:rFonts w:cs="宋体"/>
                <w:sz w:val="24"/>
              </w:rPr>
            </w:pPr>
            <w:r>
              <w:rPr>
                <w:rFonts w:hint="eastAsia" w:cs="宋体"/>
                <w:sz w:val="24"/>
              </w:rPr>
              <w:t>大气环境</w:t>
            </w:r>
          </w:p>
        </w:tc>
        <w:tc>
          <w:tcPr>
            <w:tcW w:w="1146" w:type="dxa"/>
            <w:vAlign w:val="center"/>
          </w:tcPr>
          <w:p w14:paraId="1C19EC7F">
            <w:pPr>
              <w:snapToGrid w:val="0"/>
              <w:jc w:val="center"/>
              <w:rPr>
                <w:rFonts w:cs="宋体"/>
                <w:sz w:val="24"/>
              </w:rPr>
            </w:pPr>
            <w:bookmarkStart w:id="268" w:name="OLE_LINK297"/>
            <w:r>
              <w:rPr>
                <w:rFonts w:hint="eastAsia" w:cs="宋体"/>
                <w:sz w:val="24"/>
              </w:rPr>
              <w:t>生物质锅炉燃烧废气</w:t>
            </w:r>
            <w:bookmarkEnd w:id="268"/>
          </w:p>
        </w:tc>
        <w:tc>
          <w:tcPr>
            <w:tcW w:w="1547" w:type="dxa"/>
            <w:vAlign w:val="center"/>
          </w:tcPr>
          <w:p w14:paraId="29928BEB">
            <w:pPr>
              <w:jc w:val="center"/>
              <w:rPr>
                <w:rFonts w:cs="宋体"/>
                <w:sz w:val="24"/>
              </w:rPr>
            </w:pPr>
            <w:bookmarkStart w:id="269" w:name="OLE_LINK102"/>
            <w:bookmarkStart w:id="270" w:name="OLE_LINK103"/>
            <w:r>
              <w:rPr>
                <w:rFonts w:hint="eastAsia" w:cs="宋体"/>
                <w:sz w:val="24"/>
              </w:rPr>
              <w:t>颗粒物</w:t>
            </w:r>
            <w:bookmarkEnd w:id="269"/>
            <w:bookmarkEnd w:id="270"/>
            <w:r>
              <w:rPr>
                <w:rFonts w:hint="eastAsia" w:cs="宋体"/>
                <w:sz w:val="24"/>
              </w:rPr>
              <w:t>、二氧化硫、氮氧化物</w:t>
            </w:r>
          </w:p>
        </w:tc>
        <w:tc>
          <w:tcPr>
            <w:tcW w:w="1855" w:type="dxa"/>
            <w:vAlign w:val="center"/>
          </w:tcPr>
          <w:p w14:paraId="760E90A8">
            <w:pPr>
              <w:snapToGrid w:val="0"/>
              <w:jc w:val="center"/>
              <w:rPr>
                <w:rFonts w:cs="宋体"/>
                <w:sz w:val="24"/>
              </w:rPr>
            </w:pPr>
            <w:r>
              <w:rPr>
                <w:rFonts w:hint="eastAsia" w:cs="宋体"/>
                <w:sz w:val="24"/>
              </w:rPr>
              <w:t>低氮燃烧+多管旋风除尘+布袋除尘+45m排气筒</w:t>
            </w:r>
          </w:p>
        </w:tc>
        <w:tc>
          <w:tcPr>
            <w:tcW w:w="3281" w:type="dxa"/>
            <w:vAlign w:val="center"/>
          </w:tcPr>
          <w:p w14:paraId="27D07884">
            <w:r>
              <w:rPr>
                <w:rFonts w:hint="eastAsia" w:cs="宋体"/>
                <w:sz w:val="24"/>
              </w:rPr>
              <w:t>《锅炉大气污染物排放标准》（GB 13271-2014）新建燃煤锅炉废气污染物排放标准</w:t>
            </w:r>
          </w:p>
        </w:tc>
      </w:tr>
      <w:tr w14:paraId="63F3B5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971" w:type="dxa"/>
            <w:vMerge w:val="restart"/>
            <w:vAlign w:val="center"/>
          </w:tcPr>
          <w:p w14:paraId="0A8AD8F1">
            <w:pPr>
              <w:snapToGrid w:val="0"/>
              <w:jc w:val="center"/>
              <w:rPr>
                <w:rFonts w:cs="宋体"/>
                <w:sz w:val="24"/>
              </w:rPr>
            </w:pPr>
            <w:r>
              <w:rPr>
                <w:rFonts w:hint="eastAsia" w:cs="宋体"/>
                <w:sz w:val="24"/>
              </w:rPr>
              <w:t>地表水环境</w:t>
            </w:r>
          </w:p>
        </w:tc>
        <w:tc>
          <w:tcPr>
            <w:tcW w:w="1146" w:type="dxa"/>
            <w:vAlign w:val="center"/>
          </w:tcPr>
          <w:p w14:paraId="0BB13DB7">
            <w:pPr>
              <w:snapToGrid w:val="0"/>
              <w:jc w:val="center"/>
              <w:rPr>
                <w:rFonts w:cs="宋体"/>
                <w:sz w:val="24"/>
                <w:szCs w:val="24"/>
              </w:rPr>
            </w:pPr>
            <w:bookmarkStart w:id="271" w:name="OLE_LINK301"/>
            <w:r>
              <w:rPr>
                <w:rFonts w:hint="eastAsia" w:cs="宋体"/>
                <w:sz w:val="24"/>
                <w:szCs w:val="24"/>
              </w:rPr>
              <w:t>软水制备废水、锅炉排污水</w:t>
            </w:r>
            <w:bookmarkEnd w:id="271"/>
          </w:p>
        </w:tc>
        <w:tc>
          <w:tcPr>
            <w:tcW w:w="1547" w:type="dxa"/>
            <w:vAlign w:val="center"/>
          </w:tcPr>
          <w:p w14:paraId="299956BF">
            <w:pPr>
              <w:snapToGrid w:val="0"/>
              <w:jc w:val="center"/>
              <w:rPr>
                <w:sz w:val="24"/>
                <w:szCs w:val="24"/>
              </w:rPr>
            </w:pPr>
            <w:r>
              <w:rPr>
                <w:rFonts w:hint="eastAsia"/>
                <w:sz w:val="24"/>
                <w:szCs w:val="24"/>
              </w:rPr>
              <w:t>COD、氨氮、SS</w:t>
            </w:r>
          </w:p>
        </w:tc>
        <w:tc>
          <w:tcPr>
            <w:tcW w:w="1855" w:type="dxa"/>
            <w:vAlign w:val="center"/>
          </w:tcPr>
          <w:p w14:paraId="7AA198E0">
            <w:pPr>
              <w:snapToGrid w:val="0"/>
              <w:jc w:val="center"/>
              <w:rPr>
                <w:sz w:val="24"/>
                <w:szCs w:val="24"/>
              </w:rPr>
            </w:pPr>
            <w:bookmarkStart w:id="272" w:name="OLE_LINK69"/>
            <w:r>
              <w:rPr>
                <w:rFonts w:hint="eastAsia"/>
                <w:sz w:val="24"/>
                <w:szCs w:val="24"/>
              </w:rPr>
              <w:t>直接经园区污水管网进入大榄坪污水处理厂处理</w:t>
            </w:r>
            <w:bookmarkEnd w:id="272"/>
          </w:p>
        </w:tc>
        <w:tc>
          <w:tcPr>
            <w:tcW w:w="3281" w:type="dxa"/>
            <w:vMerge w:val="restart"/>
            <w:vAlign w:val="center"/>
          </w:tcPr>
          <w:p w14:paraId="2472D21F">
            <w:pPr>
              <w:snapToGrid w:val="0"/>
              <w:jc w:val="center"/>
              <w:rPr>
                <w:rFonts w:cs="宋体"/>
                <w:sz w:val="24"/>
                <w:szCs w:val="24"/>
              </w:rPr>
            </w:pPr>
            <w:r>
              <w:rPr>
                <w:rFonts w:hint="eastAsia"/>
                <w:sz w:val="24"/>
                <w:szCs w:val="24"/>
              </w:rPr>
              <w:t>大榄坪污水处理厂</w:t>
            </w:r>
            <w:r>
              <w:rPr>
                <w:rFonts w:hint="eastAsia" w:cs="宋体"/>
                <w:sz w:val="24"/>
                <w:szCs w:val="24"/>
              </w:rPr>
              <w:t>接管标准</w:t>
            </w:r>
          </w:p>
        </w:tc>
      </w:tr>
      <w:tr w14:paraId="7EAD05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971" w:type="dxa"/>
            <w:vMerge w:val="continue"/>
            <w:vAlign w:val="center"/>
          </w:tcPr>
          <w:p w14:paraId="3BD3EC48">
            <w:pPr>
              <w:snapToGrid w:val="0"/>
              <w:jc w:val="center"/>
              <w:rPr>
                <w:rFonts w:cs="宋体"/>
                <w:sz w:val="24"/>
              </w:rPr>
            </w:pPr>
          </w:p>
        </w:tc>
        <w:tc>
          <w:tcPr>
            <w:tcW w:w="1146" w:type="dxa"/>
            <w:vAlign w:val="center"/>
          </w:tcPr>
          <w:p w14:paraId="4C1C5881">
            <w:pPr>
              <w:snapToGrid w:val="0"/>
              <w:jc w:val="center"/>
              <w:rPr>
                <w:rFonts w:cs="宋体"/>
                <w:sz w:val="24"/>
                <w:szCs w:val="24"/>
              </w:rPr>
            </w:pPr>
            <w:r>
              <w:rPr>
                <w:rFonts w:hint="eastAsia" w:cs="宋体"/>
                <w:sz w:val="24"/>
                <w:szCs w:val="24"/>
              </w:rPr>
              <w:t>生活污水</w:t>
            </w:r>
          </w:p>
        </w:tc>
        <w:tc>
          <w:tcPr>
            <w:tcW w:w="1547" w:type="dxa"/>
            <w:vAlign w:val="center"/>
          </w:tcPr>
          <w:p w14:paraId="767C183D">
            <w:pPr>
              <w:snapToGrid w:val="0"/>
              <w:jc w:val="center"/>
              <w:rPr>
                <w:sz w:val="24"/>
                <w:szCs w:val="24"/>
              </w:rPr>
            </w:pPr>
            <w:r>
              <w:rPr>
                <w:rFonts w:hint="eastAsia"/>
                <w:sz w:val="24"/>
                <w:szCs w:val="24"/>
              </w:rPr>
              <w:t>COD、BOD</w:t>
            </w:r>
            <w:r>
              <w:rPr>
                <w:rFonts w:hint="eastAsia"/>
                <w:sz w:val="24"/>
                <w:szCs w:val="24"/>
                <w:vertAlign w:val="subscript"/>
              </w:rPr>
              <w:t>5</w:t>
            </w:r>
            <w:r>
              <w:rPr>
                <w:rFonts w:hint="eastAsia"/>
                <w:sz w:val="24"/>
                <w:szCs w:val="24"/>
              </w:rPr>
              <w:t>、SS、氨氮、TP、TN</w:t>
            </w:r>
          </w:p>
        </w:tc>
        <w:tc>
          <w:tcPr>
            <w:tcW w:w="1855" w:type="dxa"/>
            <w:vAlign w:val="center"/>
          </w:tcPr>
          <w:p w14:paraId="11BAD207">
            <w:pPr>
              <w:snapToGrid w:val="0"/>
              <w:jc w:val="center"/>
              <w:rPr>
                <w:sz w:val="24"/>
                <w:szCs w:val="24"/>
              </w:rPr>
            </w:pPr>
            <w:bookmarkStart w:id="273" w:name="OLE_LINK70"/>
            <w:r>
              <w:rPr>
                <w:rFonts w:hint="eastAsia"/>
                <w:sz w:val="24"/>
                <w:szCs w:val="24"/>
              </w:rPr>
              <w:t>经化粪池处理后经园区污水管网进入大榄坪污水处理厂处理</w:t>
            </w:r>
            <w:bookmarkEnd w:id="273"/>
          </w:p>
        </w:tc>
        <w:tc>
          <w:tcPr>
            <w:tcW w:w="3281" w:type="dxa"/>
            <w:vMerge w:val="continue"/>
            <w:vAlign w:val="center"/>
          </w:tcPr>
          <w:p w14:paraId="4717FF61">
            <w:pPr>
              <w:snapToGrid w:val="0"/>
              <w:jc w:val="center"/>
              <w:rPr>
                <w:sz w:val="24"/>
                <w:szCs w:val="24"/>
              </w:rPr>
            </w:pPr>
          </w:p>
        </w:tc>
      </w:tr>
      <w:tr w14:paraId="4CCE9C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71" w:type="dxa"/>
            <w:vAlign w:val="center"/>
          </w:tcPr>
          <w:p w14:paraId="6F85F1CA">
            <w:pPr>
              <w:snapToGrid w:val="0"/>
              <w:jc w:val="center"/>
              <w:rPr>
                <w:rFonts w:cs="宋体"/>
                <w:sz w:val="24"/>
              </w:rPr>
            </w:pPr>
            <w:r>
              <w:rPr>
                <w:rFonts w:hint="eastAsia" w:cs="宋体"/>
                <w:sz w:val="24"/>
              </w:rPr>
              <w:t>声环境</w:t>
            </w:r>
          </w:p>
        </w:tc>
        <w:tc>
          <w:tcPr>
            <w:tcW w:w="1146" w:type="dxa"/>
            <w:vAlign w:val="center"/>
          </w:tcPr>
          <w:p w14:paraId="0099C8C6">
            <w:pPr>
              <w:snapToGrid w:val="0"/>
              <w:jc w:val="center"/>
              <w:rPr>
                <w:rFonts w:cs="宋体"/>
                <w:sz w:val="24"/>
                <w:szCs w:val="24"/>
              </w:rPr>
            </w:pPr>
            <w:r>
              <w:rPr>
                <w:rFonts w:hint="eastAsia" w:cs="宋体"/>
                <w:sz w:val="24"/>
                <w:szCs w:val="24"/>
              </w:rPr>
              <w:t>设备噪声</w:t>
            </w:r>
          </w:p>
        </w:tc>
        <w:tc>
          <w:tcPr>
            <w:tcW w:w="1547" w:type="dxa"/>
            <w:vAlign w:val="center"/>
          </w:tcPr>
          <w:p w14:paraId="26B8071C">
            <w:pPr>
              <w:snapToGrid w:val="0"/>
              <w:jc w:val="center"/>
              <w:rPr>
                <w:rFonts w:cs="宋体"/>
                <w:sz w:val="24"/>
                <w:szCs w:val="24"/>
              </w:rPr>
            </w:pPr>
            <w:r>
              <w:rPr>
                <w:rFonts w:hint="eastAsia"/>
                <w:sz w:val="24"/>
                <w:szCs w:val="24"/>
              </w:rPr>
              <w:t>连续等效A声级</w:t>
            </w:r>
          </w:p>
        </w:tc>
        <w:tc>
          <w:tcPr>
            <w:tcW w:w="1855" w:type="dxa"/>
            <w:vAlign w:val="center"/>
          </w:tcPr>
          <w:p w14:paraId="7CF572F8">
            <w:pPr>
              <w:snapToGrid w:val="0"/>
              <w:jc w:val="center"/>
              <w:rPr>
                <w:rFonts w:cs="宋体"/>
                <w:sz w:val="24"/>
                <w:szCs w:val="24"/>
              </w:rPr>
            </w:pPr>
            <w:r>
              <w:rPr>
                <w:rFonts w:hint="eastAsia"/>
                <w:sz w:val="24"/>
                <w:szCs w:val="24"/>
              </w:rPr>
              <w:t>消声、吸声、隔声、减震等</w:t>
            </w:r>
          </w:p>
        </w:tc>
        <w:tc>
          <w:tcPr>
            <w:tcW w:w="3281" w:type="dxa"/>
            <w:vAlign w:val="center"/>
          </w:tcPr>
          <w:p w14:paraId="6F488977">
            <w:pPr>
              <w:snapToGrid w:val="0"/>
              <w:jc w:val="center"/>
              <w:rPr>
                <w:rFonts w:cs="宋体"/>
                <w:sz w:val="24"/>
                <w:szCs w:val="24"/>
              </w:rPr>
            </w:pPr>
            <w:r>
              <w:rPr>
                <w:rFonts w:hint="eastAsia" w:cs="宋体"/>
                <w:sz w:val="24"/>
                <w:szCs w:val="24"/>
              </w:rPr>
              <w:t>《工业企业厂界环境噪声排放标准》（GB12348-2008）表1中的3类标准值</w:t>
            </w:r>
          </w:p>
        </w:tc>
      </w:tr>
      <w:tr w14:paraId="1559D3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71" w:type="dxa"/>
            <w:vAlign w:val="center"/>
          </w:tcPr>
          <w:p w14:paraId="2D46A33A">
            <w:pPr>
              <w:snapToGrid w:val="0"/>
              <w:jc w:val="center"/>
              <w:rPr>
                <w:rFonts w:cs="宋体"/>
                <w:sz w:val="24"/>
              </w:rPr>
            </w:pPr>
            <w:r>
              <w:rPr>
                <w:rFonts w:hint="eastAsia" w:cs="宋体"/>
                <w:sz w:val="24"/>
              </w:rPr>
              <w:t>电磁辐射</w:t>
            </w:r>
          </w:p>
        </w:tc>
        <w:tc>
          <w:tcPr>
            <w:tcW w:w="1146" w:type="dxa"/>
            <w:vAlign w:val="center"/>
          </w:tcPr>
          <w:p w14:paraId="09F0BA7F">
            <w:pPr>
              <w:snapToGrid w:val="0"/>
              <w:jc w:val="center"/>
              <w:rPr>
                <w:rFonts w:cs="宋体"/>
                <w:sz w:val="24"/>
              </w:rPr>
            </w:pPr>
            <w:r>
              <w:rPr>
                <w:rFonts w:hint="eastAsia"/>
              </w:rPr>
              <w:t>——</w:t>
            </w:r>
          </w:p>
        </w:tc>
        <w:tc>
          <w:tcPr>
            <w:tcW w:w="1547" w:type="dxa"/>
            <w:vAlign w:val="center"/>
          </w:tcPr>
          <w:p w14:paraId="732F461E">
            <w:pPr>
              <w:snapToGrid w:val="0"/>
              <w:jc w:val="center"/>
              <w:rPr>
                <w:rFonts w:cs="宋体"/>
                <w:sz w:val="24"/>
              </w:rPr>
            </w:pPr>
            <w:r>
              <w:t>——</w:t>
            </w:r>
          </w:p>
        </w:tc>
        <w:tc>
          <w:tcPr>
            <w:tcW w:w="1855" w:type="dxa"/>
            <w:vAlign w:val="center"/>
          </w:tcPr>
          <w:p w14:paraId="77A1DEA3">
            <w:pPr>
              <w:snapToGrid w:val="0"/>
              <w:jc w:val="center"/>
              <w:rPr>
                <w:rFonts w:cs="宋体"/>
                <w:sz w:val="24"/>
              </w:rPr>
            </w:pPr>
            <w:r>
              <w:t>——</w:t>
            </w:r>
          </w:p>
        </w:tc>
        <w:tc>
          <w:tcPr>
            <w:tcW w:w="3281" w:type="dxa"/>
            <w:vAlign w:val="center"/>
          </w:tcPr>
          <w:p w14:paraId="17E7093B">
            <w:pPr>
              <w:snapToGrid w:val="0"/>
              <w:jc w:val="center"/>
              <w:rPr>
                <w:rFonts w:cs="宋体"/>
                <w:sz w:val="24"/>
              </w:rPr>
            </w:pPr>
            <w:r>
              <w:t>——</w:t>
            </w:r>
          </w:p>
        </w:tc>
      </w:tr>
      <w:tr w14:paraId="01220B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971" w:type="dxa"/>
            <w:vAlign w:val="center"/>
          </w:tcPr>
          <w:p w14:paraId="320869A1">
            <w:pPr>
              <w:snapToGrid w:val="0"/>
              <w:jc w:val="center"/>
              <w:rPr>
                <w:rFonts w:cs="宋体"/>
                <w:sz w:val="24"/>
              </w:rPr>
            </w:pPr>
            <w:r>
              <w:rPr>
                <w:rFonts w:hint="eastAsia" w:cs="宋体"/>
                <w:sz w:val="24"/>
              </w:rPr>
              <w:t>固体废物</w:t>
            </w:r>
          </w:p>
        </w:tc>
        <w:tc>
          <w:tcPr>
            <w:tcW w:w="7829" w:type="dxa"/>
            <w:gridSpan w:val="4"/>
            <w:vAlign w:val="center"/>
          </w:tcPr>
          <w:p w14:paraId="7598B7F4">
            <w:pPr>
              <w:snapToGrid w:val="0"/>
              <w:jc w:val="left"/>
              <w:rPr>
                <w:rFonts w:cs="宋体"/>
                <w:color w:val="auto"/>
                <w:sz w:val="24"/>
              </w:rPr>
            </w:pPr>
            <w:r>
              <w:rPr>
                <w:rFonts w:hint="eastAsia" w:cs="宋体"/>
                <w:sz w:val="24"/>
              </w:rPr>
              <w:t>一般工业固体废</w:t>
            </w:r>
            <w:r>
              <w:rPr>
                <w:rFonts w:hint="eastAsia" w:cs="宋体"/>
                <w:color w:val="auto"/>
                <w:sz w:val="24"/>
              </w:rPr>
              <w:t>物：</w:t>
            </w:r>
            <w:bookmarkStart w:id="274" w:name="OLE_LINK289"/>
            <w:r>
              <w:rPr>
                <w:rFonts w:hint="eastAsia" w:cs="宋体"/>
                <w:color w:val="auto"/>
                <w:sz w:val="24"/>
              </w:rPr>
              <w:t>S1除尘灰、S2炉渣收集后外运做农肥；S3废离子交换树脂、S4废布袋，</w:t>
            </w:r>
            <w:bookmarkStart w:id="275" w:name="OLE_LINK286"/>
            <w:r>
              <w:rPr>
                <w:rFonts w:hint="eastAsia" w:cs="宋体"/>
                <w:color w:val="auto"/>
                <w:sz w:val="24"/>
              </w:rPr>
              <w:t>外售</w:t>
            </w:r>
            <w:bookmarkStart w:id="276" w:name="OLE_LINK287"/>
            <w:r>
              <w:rPr>
                <w:rFonts w:hint="eastAsia" w:cs="宋体"/>
                <w:color w:val="auto"/>
                <w:sz w:val="24"/>
              </w:rPr>
              <w:t>综合利用</w:t>
            </w:r>
            <w:bookmarkEnd w:id="275"/>
            <w:bookmarkEnd w:id="276"/>
            <w:r>
              <w:rPr>
                <w:rFonts w:hint="eastAsia" w:cs="宋体"/>
                <w:color w:val="auto"/>
                <w:sz w:val="24"/>
              </w:rPr>
              <w:t>。</w:t>
            </w:r>
            <w:bookmarkEnd w:id="274"/>
          </w:p>
          <w:p w14:paraId="1B2C841D">
            <w:pPr>
              <w:snapToGrid w:val="0"/>
              <w:jc w:val="left"/>
              <w:rPr>
                <w:rFonts w:cs="宋体"/>
                <w:color w:val="auto"/>
                <w:sz w:val="24"/>
              </w:rPr>
            </w:pPr>
            <w:r>
              <w:rPr>
                <w:rFonts w:hint="eastAsia" w:cs="宋体"/>
                <w:color w:val="auto"/>
                <w:sz w:val="24"/>
              </w:rPr>
              <w:t>危险废物：S5废润滑油及废油桶、S6废含油抹布委托有资质单位处置。</w:t>
            </w:r>
          </w:p>
          <w:p w14:paraId="1E92CF29">
            <w:pPr>
              <w:snapToGrid w:val="0"/>
              <w:jc w:val="left"/>
              <w:rPr>
                <w:rFonts w:cs="宋体"/>
                <w:sz w:val="24"/>
              </w:rPr>
            </w:pPr>
            <w:bookmarkStart w:id="277" w:name="OLE_LINK99"/>
            <w:r>
              <w:rPr>
                <w:rFonts w:hint="eastAsia" w:cs="宋体"/>
                <w:color w:val="auto"/>
                <w:sz w:val="24"/>
              </w:rPr>
              <w:t>生活垃圾：交由环卫部门处置。</w:t>
            </w:r>
            <w:bookmarkEnd w:id="277"/>
          </w:p>
        </w:tc>
      </w:tr>
      <w:tr w14:paraId="58AE92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971" w:type="dxa"/>
            <w:vAlign w:val="center"/>
          </w:tcPr>
          <w:p w14:paraId="1223ACCC">
            <w:pPr>
              <w:snapToGrid w:val="0"/>
              <w:jc w:val="center"/>
              <w:rPr>
                <w:rFonts w:cs="宋体"/>
                <w:sz w:val="24"/>
              </w:rPr>
            </w:pPr>
            <w:r>
              <w:rPr>
                <w:rFonts w:hint="eastAsia" w:cs="宋体"/>
                <w:sz w:val="24"/>
              </w:rPr>
              <w:t>土壤及地下水</w:t>
            </w:r>
          </w:p>
          <w:p w14:paraId="7DA8DB22">
            <w:pPr>
              <w:snapToGrid w:val="0"/>
              <w:jc w:val="center"/>
              <w:rPr>
                <w:rFonts w:cs="宋体"/>
                <w:sz w:val="24"/>
              </w:rPr>
            </w:pPr>
            <w:r>
              <w:rPr>
                <w:rFonts w:hint="eastAsia" w:cs="宋体"/>
                <w:sz w:val="24"/>
              </w:rPr>
              <w:t>污染防治措施</w:t>
            </w:r>
          </w:p>
        </w:tc>
        <w:tc>
          <w:tcPr>
            <w:tcW w:w="7829" w:type="dxa"/>
            <w:gridSpan w:val="4"/>
            <w:vAlign w:val="center"/>
          </w:tcPr>
          <w:p w14:paraId="51EBA891">
            <w:pPr>
              <w:snapToGrid w:val="0"/>
              <w:jc w:val="left"/>
              <w:rPr>
                <w:rFonts w:cs="宋体"/>
                <w:sz w:val="24"/>
              </w:rPr>
            </w:pPr>
            <w:r>
              <w:rPr>
                <w:rFonts w:hint="eastAsia" w:cs="宋体"/>
                <w:sz w:val="24"/>
              </w:rPr>
              <w:t>按照厂区装置和生产特点做好分区防渗措施，设置环保机构及专责人，建立和完善环保管理及奖惩制度、加强环保设施运行管理等。</w:t>
            </w:r>
          </w:p>
        </w:tc>
      </w:tr>
      <w:tr w14:paraId="79500F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971" w:type="dxa"/>
            <w:vAlign w:val="center"/>
          </w:tcPr>
          <w:p w14:paraId="3C3BD6B2">
            <w:pPr>
              <w:snapToGrid w:val="0"/>
              <w:jc w:val="center"/>
              <w:rPr>
                <w:rFonts w:cs="宋体"/>
                <w:sz w:val="24"/>
              </w:rPr>
            </w:pPr>
            <w:r>
              <w:rPr>
                <w:rFonts w:hint="eastAsia" w:cs="宋体"/>
                <w:sz w:val="24"/>
              </w:rPr>
              <w:t>生态保护措施</w:t>
            </w:r>
          </w:p>
        </w:tc>
        <w:tc>
          <w:tcPr>
            <w:tcW w:w="7829" w:type="dxa"/>
            <w:gridSpan w:val="4"/>
            <w:vAlign w:val="center"/>
          </w:tcPr>
          <w:p w14:paraId="5EA84AF2">
            <w:pPr>
              <w:snapToGrid w:val="0"/>
              <w:jc w:val="center"/>
              <w:rPr>
                <w:rFonts w:cs="宋体"/>
                <w:sz w:val="24"/>
              </w:rPr>
            </w:pPr>
            <w:r>
              <w:rPr>
                <w:rFonts w:hint="eastAsia" w:cs="宋体"/>
                <w:sz w:val="24"/>
              </w:rPr>
              <w:t>/</w:t>
            </w:r>
          </w:p>
        </w:tc>
      </w:tr>
      <w:tr w14:paraId="22C100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971" w:type="dxa"/>
            <w:vAlign w:val="center"/>
          </w:tcPr>
          <w:p w14:paraId="42F14BA2">
            <w:pPr>
              <w:snapToGrid w:val="0"/>
              <w:jc w:val="center"/>
              <w:rPr>
                <w:rFonts w:cs="宋体"/>
                <w:spacing w:val="-8"/>
                <w:sz w:val="24"/>
              </w:rPr>
            </w:pPr>
            <w:r>
              <w:rPr>
                <w:rFonts w:hint="eastAsia" w:cs="宋体"/>
                <w:spacing w:val="-8"/>
                <w:sz w:val="24"/>
              </w:rPr>
              <w:t>环境风险防范措施</w:t>
            </w:r>
          </w:p>
        </w:tc>
        <w:tc>
          <w:tcPr>
            <w:tcW w:w="7829" w:type="dxa"/>
            <w:gridSpan w:val="4"/>
            <w:vAlign w:val="center"/>
          </w:tcPr>
          <w:p w14:paraId="3DEF5C9E">
            <w:pPr>
              <w:pStyle w:val="67"/>
              <w:rPr>
                <w:rFonts w:hint="eastAsia"/>
              </w:rPr>
            </w:pPr>
            <w:r>
              <w:rPr>
                <w:rFonts w:hint="eastAsia"/>
              </w:rPr>
              <w:t>加强设备日常维护，定期组织员工进行环保培训、提高员工环境风险防范意识。</w:t>
            </w:r>
          </w:p>
        </w:tc>
      </w:tr>
      <w:tr w14:paraId="571F27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971" w:type="dxa"/>
            <w:vAlign w:val="center"/>
          </w:tcPr>
          <w:p w14:paraId="61346654">
            <w:pPr>
              <w:snapToGrid w:val="0"/>
              <w:jc w:val="center"/>
              <w:rPr>
                <w:rFonts w:cs="宋体"/>
                <w:spacing w:val="-8"/>
                <w:sz w:val="24"/>
              </w:rPr>
            </w:pPr>
            <w:r>
              <w:rPr>
                <w:rFonts w:hint="eastAsia" w:cs="宋体"/>
                <w:spacing w:val="-8"/>
                <w:sz w:val="24"/>
              </w:rPr>
              <w:t>其他环境管理要求</w:t>
            </w:r>
          </w:p>
        </w:tc>
        <w:tc>
          <w:tcPr>
            <w:tcW w:w="7829" w:type="dxa"/>
            <w:gridSpan w:val="4"/>
            <w:vAlign w:val="center"/>
          </w:tcPr>
          <w:p w14:paraId="324689BF">
            <w:pPr>
              <w:snapToGrid w:val="0"/>
              <w:rPr>
                <w:rFonts w:cs="宋体"/>
                <w:sz w:val="24"/>
              </w:rPr>
            </w:pPr>
            <w:r>
              <w:rPr>
                <w:rFonts w:hint="eastAsia" w:cs="宋体"/>
                <w:sz w:val="24"/>
              </w:rPr>
              <w:t>废气处理设施需由专人维护保养，严格执行操作规程；做好废气处理设施的日常运行记录，建立管理台帐，了解处理设施的动态信息，确保废气处理设施的正常运行；按照监测计划进行常规检测；排污口规范化管理；根据《建设项目竣工环境保护验收暂行办法》的规定，建设项目竣工后，建设单位应当如实查验、监测、记载建设项目环境保护设施的建设和调试情况，编制验收监测报告。</w:t>
            </w:r>
          </w:p>
        </w:tc>
      </w:tr>
    </w:tbl>
    <w:p w14:paraId="612AD0B4">
      <w:pPr>
        <w:pStyle w:val="2"/>
        <w:rPr>
          <w:snapToGrid w:val="0"/>
        </w:rPr>
      </w:pPr>
      <w:bookmarkStart w:id="278" w:name="_Toc175609278"/>
      <w:bookmarkStart w:id="279" w:name="_Toc191861464"/>
      <w:r>
        <w:rPr>
          <w:rFonts w:hint="eastAsia"/>
          <w:snapToGrid w:val="0"/>
        </w:rPr>
        <w:t>结论</w:t>
      </w:r>
      <w:bookmarkEnd w:id="278"/>
      <w:bookmarkEnd w:id="279"/>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7917F4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vAlign w:val="center"/>
          </w:tcPr>
          <w:p w14:paraId="42956A33">
            <w:pPr>
              <w:pStyle w:val="3"/>
              <w:ind w:firstLine="480"/>
            </w:pPr>
            <w:r>
              <w:rPr>
                <w:rFonts w:hint="eastAsia"/>
              </w:rPr>
              <w:t>本项目建设符合国家及地方产业政策，区域环境质量现状良好，无重大环境制约因素。评价认为该项目在满足本报告表提出的污染物防治措施与主体工程“三同时”的前提下，废气、噪声、废水达标排放，不会对当地环境质量产生明显不利影响，具有较好的社会效益和环境效益，从环境影响角度分析，该项目是可行的。</w:t>
            </w:r>
          </w:p>
        </w:tc>
      </w:tr>
    </w:tbl>
    <w:p w14:paraId="68C6F58A">
      <w:pPr>
        <w:sectPr>
          <w:footerReference r:id="rId8" w:type="default"/>
          <w:pgSz w:w="11906" w:h="16838"/>
          <w:pgMar w:top="1701" w:right="1531" w:bottom="1701" w:left="1531" w:header="851" w:footer="851" w:gutter="0"/>
          <w:cols w:space="720" w:num="1"/>
          <w:docGrid w:linePitch="312" w:charSpace="0"/>
        </w:sectPr>
      </w:pPr>
    </w:p>
    <w:p w14:paraId="33C69902">
      <w:pPr>
        <w:pStyle w:val="18"/>
        <w:rPr>
          <w:rFonts w:hint="eastAsia"/>
          <w:snapToGrid w:val="0"/>
        </w:rPr>
      </w:pPr>
      <w:bookmarkStart w:id="280" w:name="_Toc175609279"/>
      <w:r>
        <w:rPr>
          <w:rFonts w:hint="eastAsia"/>
          <w:snapToGrid w:val="0"/>
        </w:rPr>
        <w:t>附表</w:t>
      </w:r>
      <w:bookmarkEnd w:id="280"/>
    </w:p>
    <w:p w14:paraId="64E8AE74">
      <w:pPr>
        <w:pStyle w:val="49"/>
        <w:rPr>
          <w:snapToGrid w:val="0"/>
        </w:rPr>
      </w:pPr>
      <w:r>
        <w:rPr>
          <w:rFonts w:hint="eastAsia"/>
          <w:snapToGrid w:val="0"/>
        </w:rPr>
        <w:t>建设项目污染物排放量汇总表</w:t>
      </w:r>
    </w:p>
    <w:tbl>
      <w:tblPr>
        <w:tblStyle w:val="20"/>
        <w:tblW w:w="137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69"/>
        <w:gridCol w:w="1417"/>
        <w:gridCol w:w="1600"/>
        <w:gridCol w:w="1600"/>
        <w:gridCol w:w="1600"/>
        <w:gridCol w:w="1601"/>
        <w:gridCol w:w="1600"/>
        <w:gridCol w:w="1600"/>
        <w:gridCol w:w="1601"/>
      </w:tblGrid>
      <w:tr w14:paraId="322336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169" w:type="dxa"/>
            <w:tcBorders>
              <w:tl2br w:val="single" w:color="auto" w:sz="4" w:space="0"/>
            </w:tcBorders>
            <w:tcMar>
              <w:left w:w="28" w:type="dxa"/>
              <w:right w:w="28" w:type="dxa"/>
            </w:tcMar>
            <w:vAlign w:val="center"/>
          </w:tcPr>
          <w:p w14:paraId="4D7971FB">
            <w:pPr>
              <w:pStyle w:val="43"/>
              <w:spacing w:beforeLines="0" w:afterLines="0" w:line="240" w:lineRule="auto"/>
              <w:jc w:val="right"/>
              <w:rPr>
                <w:rFonts w:ascii="Times New Roman" w:eastAsia="黑体" w:cs="宋体"/>
                <w:snapToGrid w:val="0"/>
                <w:spacing w:val="-6"/>
                <w:kern w:val="21"/>
                <w:szCs w:val="21"/>
              </w:rPr>
            </w:pPr>
            <w:r>
              <w:rPr>
                <w:rFonts w:hint="eastAsia" w:ascii="Times New Roman" w:eastAsia="黑体" w:cs="宋体"/>
                <w:snapToGrid w:val="0"/>
                <w:spacing w:val="-6"/>
                <w:kern w:val="21"/>
                <w:szCs w:val="21"/>
              </w:rPr>
              <w:t>项目</w:t>
            </w:r>
          </w:p>
          <w:p w14:paraId="47167BDB">
            <w:pPr>
              <w:pStyle w:val="43"/>
              <w:spacing w:beforeLines="0" w:afterLines="0" w:line="240" w:lineRule="auto"/>
              <w:jc w:val="left"/>
              <w:rPr>
                <w:rFonts w:ascii="Times New Roman" w:eastAsia="黑体" w:cs="宋体"/>
                <w:snapToGrid w:val="0"/>
                <w:spacing w:val="-6"/>
                <w:kern w:val="21"/>
                <w:szCs w:val="21"/>
              </w:rPr>
            </w:pPr>
            <w:r>
              <w:rPr>
                <w:rFonts w:hint="eastAsia" w:ascii="Times New Roman" w:eastAsia="黑体" w:cs="宋体"/>
                <w:snapToGrid w:val="0"/>
                <w:spacing w:val="-6"/>
                <w:kern w:val="21"/>
                <w:szCs w:val="21"/>
              </w:rPr>
              <w:t>分类</w:t>
            </w:r>
          </w:p>
        </w:tc>
        <w:tc>
          <w:tcPr>
            <w:tcW w:w="1417" w:type="dxa"/>
            <w:tcMar>
              <w:left w:w="28" w:type="dxa"/>
              <w:right w:w="28" w:type="dxa"/>
            </w:tcMar>
            <w:vAlign w:val="center"/>
          </w:tcPr>
          <w:p w14:paraId="449A59F3">
            <w:pPr>
              <w:pStyle w:val="43"/>
              <w:spacing w:beforeLines="0" w:afterLines="0" w:line="240" w:lineRule="auto"/>
              <w:rPr>
                <w:rFonts w:ascii="Times New Roman" w:eastAsia="黑体" w:cs="宋体"/>
                <w:snapToGrid w:val="0"/>
                <w:spacing w:val="-6"/>
                <w:kern w:val="21"/>
                <w:szCs w:val="21"/>
              </w:rPr>
            </w:pPr>
            <w:r>
              <w:rPr>
                <w:rFonts w:hint="eastAsia" w:ascii="Times New Roman" w:eastAsia="黑体" w:cs="宋体"/>
                <w:snapToGrid w:val="0"/>
                <w:spacing w:val="-6"/>
                <w:kern w:val="21"/>
                <w:szCs w:val="21"/>
              </w:rPr>
              <w:t>污染物名称</w:t>
            </w:r>
          </w:p>
        </w:tc>
        <w:tc>
          <w:tcPr>
            <w:tcW w:w="1600" w:type="dxa"/>
            <w:tcMar>
              <w:left w:w="28" w:type="dxa"/>
              <w:right w:w="28" w:type="dxa"/>
            </w:tcMar>
            <w:vAlign w:val="center"/>
          </w:tcPr>
          <w:p w14:paraId="70798D80">
            <w:pPr>
              <w:pStyle w:val="43"/>
              <w:spacing w:beforeLines="0" w:afterLines="0" w:line="240" w:lineRule="auto"/>
              <w:rPr>
                <w:rFonts w:ascii="Times New Roman" w:eastAsia="黑体"/>
                <w:snapToGrid w:val="0"/>
                <w:spacing w:val="-6"/>
                <w:kern w:val="21"/>
                <w:szCs w:val="21"/>
              </w:rPr>
            </w:pPr>
            <w:r>
              <w:rPr>
                <w:rFonts w:ascii="Times New Roman" w:eastAsia="黑体"/>
                <w:snapToGrid w:val="0"/>
                <w:spacing w:val="-6"/>
                <w:kern w:val="21"/>
                <w:szCs w:val="21"/>
              </w:rPr>
              <w:t>现有工程</w:t>
            </w:r>
          </w:p>
          <w:p w14:paraId="0236599F">
            <w:pPr>
              <w:pStyle w:val="43"/>
              <w:spacing w:beforeLines="0" w:afterLines="0" w:line="240" w:lineRule="auto"/>
              <w:rPr>
                <w:rFonts w:ascii="Times New Roman" w:eastAsia="黑体"/>
                <w:snapToGrid w:val="0"/>
                <w:spacing w:val="-6"/>
                <w:kern w:val="21"/>
                <w:szCs w:val="21"/>
              </w:rPr>
            </w:pPr>
            <w:r>
              <w:rPr>
                <w:rFonts w:ascii="Times New Roman" w:eastAsia="黑体"/>
                <w:snapToGrid w:val="0"/>
                <w:spacing w:val="-6"/>
                <w:kern w:val="21"/>
                <w:szCs w:val="21"/>
              </w:rPr>
              <w:t>排放量（固</w:t>
            </w:r>
            <w:r>
              <w:rPr>
                <w:rFonts w:hint="eastAsia" w:ascii="Times New Roman" w:eastAsia="黑体"/>
                <w:snapToGrid w:val="0"/>
                <w:spacing w:val="-6"/>
                <w:kern w:val="21"/>
                <w:szCs w:val="21"/>
              </w:rPr>
              <w:t>体</w:t>
            </w:r>
            <w:r>
              <w:rPr>
                <w:rFonts w:ascii="Times New Roman" w:eastAsia="黑体"/>
                <w:snapToGrid w:val="0"/>
                <w:spacing w:val="-6"/>
                <w:kern w:val="21"/>
                <w:szCs w:val="21"/>
              </w:rPr>
              <w:t>废</w:t>
            </w:r>
            <w:r>
              <w:rPr>
                <w:rFonts w:hint="eastAsia" w:ascii="Times New Roman" w:eastAsia="黑体"/>
                <w:snapToGrid w:val="0"/>
                <w:spacing w:val="-6"/>
                <w:kern w:val="21"/>
                <w:szCs w:val="21"/>
              </w:rPr>
              <w:t>物</w:t>
            </w:r>
            <w:r>
              <w:rPr>
                <w:rFonts w:ascii="Times New Roman" w:eastAsia="黑体"/>
                <w:snapToGrid w:val="0"/>
                <w:spacing w:val="-6"/>
                <w:kern w:val="21"/>
                <w:szCs w:val="21"/>
              </w:rPr>
              <w:t>产生量）</w:t>
            </w:r>
            <w:r>
              <w:rPr>
                <w:rFonts w:hint="eastAsia" w:hAnsi="宋体" w:cs="宋体"/>
                <w:kern w:val="2"/>
                <w:szCs w:val="21"/>
              </w:rPr>
              <w:t>①</w:t>
            </w:r>
          </w:p>
        </w:tc>
        <w:tc>
          <w:tcPr>
            <w:tcW w:w="1600" w:type="dxa"/>
            <w:tcMar>
              <w:left w:w="28" w:type="dxa"/>
              <w:right w:w="28" w:type="dxa"/>
            </w:tcMar>
            <w:vAlign w:val="center"/>
          </w:tcPr>
          <w:p w14:paraId="7A18CE73">
            <w:pPr>
              <w:pStyle w:val="43"/>
              <w:spacing w:beforeLines="0" w:afterLines="0" w:line="240" w:lineRule="auto"/>
              <w:rPr>
                <w:rFonts w:ascii="Times New Roman" w:eastAsia="黑体"/>
                <w:snapToGrid w:val="0"/>
                <w:spacing w:val="-6"/>
                <w:kern w:val="21"/>
                <w:szCs w:val="21"/>
              </w:rPr>
            </w:pPr>
            <w:r>
              <w:rPr>
                <w:rFonts w:ascii="Times New Roman" w:eastAsia="黑体"/>
                <w:snapToGrid w:val="0"/>
                <w:spacing w:val="-6"/>
                <w:kern w:val="21"/>
                <w:szCs w:val="21"/>
              </w:rPr>
              <w:t>现有工程</w:t>
            </w:r>
          </w:p>
          <w:p w14:paraId="24B4F9A2">
            <w:pPr>
              <w:pStyle w:val="43"/>
              <w:spacing w:beforeLines="0" w:afterLines="0" w:line="240" w:lineRule="auto"/>
              <w:rPr>
                <w:rFonts w:ascii="Times New Roman" w:eastAsia="黑体"/>
                <w:snapToGrid w:val="0"/>
                <w:spacing w:val="-6"/>
                <w:kern w:val="21"/>
                <w:szCs w:val="21"/>
              </w:rPr>
            </w:pPr>
            <w:r>
              <w:rPr>
                <w:rFonts w:ascii="Times New Roman" w:eastAsia="黑体"/>
                <w:snapToGrid w:val="0"/>
                <w:spacing w:val="-6"/>
                <w:kern w:val="21"/>
                <w:szCs w:val="21"/>
              </w:rPr>
              <w:t>许可排放量</w:t>
            </w:r>
          </w:p>
          <w:p w14:paraId="4DD97CF7">
            <w:pPr>
              <w:pStyle w:val="43"/>
              <w:spacing w:beforeLines="0" w:afterLines="0"/>
              <w:rPr>
                <w:rFonts w:ascii="Times New Roman" w:eastAsia="黑体"/>
                <w:snapToGrid w:val="0"/>
                <w:spacing w:val="-6"/>
                <w:kern w:val="21"/>
                <w:szCs w:val="21"/>
              </w:rPr>
            </w:pPr>
            <w:r>
              <w:rPr>
                <w:rFonts w:hint="eastAsia" w:hAnsi="宋体" w:cs="宋体"/>
                <w:snapToGrid w:val="0"/>
                <w:spacing w:val="-6"/>
                <w:kern w:val="21"/>
                <w:szCs w:val="21"/>
              </w:rPr>
              <w:t>②</w:t>
            </w:r>
          </w:p>
        </w:tc>
        <w:tc>
          <w:tcPr>
            <w:tcW w:w="1600" w:type="dxa"/>
            <w:tcMar>
              <w:left w:w="28" w:type="dxa"/>
              <w:right w:w="28" w:type="dxa"/>
            </w:tcMar>
            <w:vAlign w:val="center"/>
          </w:tcPr>
          <w:p w14:paraId="2B9BE3A7">
            <w:pPr>
              <w:pStyle w:val="43"/>
              <w:spacing w:beforeLines="0" w:afterLines="0" w:line="240" w:lineRule="auto"/>
              <w:rPr>
                <w:rFonts w:ascii="Times New Roman" w:eastAsia="黑体"/>
                <w:snapToGrid w:val="0"/>
                <w:spacing w:val="-6"/>
                <w:kern w:val="21"/>
                <w:szCs w:val="21"/>
              </w:rPr>
            </w:pPr>
            <w:r>
              <w:rPr>
                <w:rFonts w:ascii="Times New Roman" w:eastAsia="黑体"/>
                <w:snapToGrid w:val="0"/>
                <w:spacing w:val="-6"/>
                <w:kern w:val="21"/>
                <w:szCs w:val="21"/>
              </w:rPr>
              <w:t>在建工程</w:t>
            </w:r>
          </w:p>
          <w:p w14:paraId="167941EE">
            <w:pPr>
              <w:pStyle w:val="43"/>
              <w:spacing w:beforeLines="0" w:afterLines="0" w:line="240" w:lineRule="auto"/>
              <w:rPr>
                <w:rFonts w:ascii="Times New Roman" w:eastAsia="黑体"/>
                <w:snapToGrid w:val="0"/>
                <w:spacing w:val="-6"/>
                <w:kern w:val="21"/>
                <w:szCs w:val="21"/>
              </w:rPr>
            </w:pPr>
            <w:r>
              <w:rPr>
                <w:rFonts w:ascii="Times New Roman" w:eastAsia="黑体"/>
                <w:snapToGrid w:val="0"/>
                <w:spacing w:val="-6"/>
                <w:kern w:val="21"/>
                <w:szCs w:val="21"/>
              </w:rPr>
              <w:t>排放量（固</w:t>
            </w:r>
            <w:r>
              <w:rPr>
                <w:rFonts w:hint="eastAsia" w:ascii="Times New Roman" w:eastAsia="黑体"/>
                <w:snapToGrid w:val="0"/>
                <w:spacing w:val="-6"/>
                <w:kern w:val="21"/>
                <w:szCs w:val="21"/>
              </w:rPr>
              <w:t>体</w:t>
            </w:r>
            <w:r>
              <w:rPr>
                <w:rFonts w:ascii="Times New Roman" w:eastAsia="黑体"/>
                <w:snapToGrid w:val="0"/>
                <w:spacing w:val="-6"/>
                <w:kern w:val="21"/>
                <w:szCs w:val="21"/>
              </w:rPr>
              <w:t>废</w:t>
            </w:r>
            <w:r>
              <w:rPr>
                <w:rFonts w:hint="eastAsia" w:ascii="Times New Roman" w:eastAsia="黑体"/>
                <w:snapToGrid w:val="0"/>
                <w:spacing w:val="-6"/>
                <w:kern w:val="21"/>
                <w:szCs w:val="21"/>
              </w:rPr>
              <w:t>物</w:t>
            </w:r>
            <w:r>
              <w:rPr>
                <w:rFonts w:ascii="Times New Roman" w:eastAsia="黑体"/>
                <w:snapToGrid w:val="0"/>
                <w:spacing w:val="-6"/>
                <w:kern w:val="21"/>
                <w:szCs w:val="21"/>
              </w:rPr>
              <w:t>产生量）</w:t>
            </w:r>
            <w:r>
              <w:rPr>
                <w:rFonts w:hint="eastAsia" w:hAnsi="宋体" w:cs="宋体"/>
                <w:kern w:val="2"/>
                <w:szCs w:val="21"/>
              </w:rPr>
              <w:t>③</w:t>
            </w:r>
          </w:p>
        </w:tc>
        <w:tc>
          <w:tcPr>
            <w:tcW w:w="1601" w:type="dxa"/>
            <w:tcMar>
              <w:left w:w="28" w:type="dxa"/>
              <w:right w:w="28" w:type="dxa"/>
            </w:tcMar>
            <w:vAlign w:val="center"/>
          </w:tcPr>
          <w:p w14:paraId="44E30D25">
            <w:pPr>
              <w:pStyle w:val="43"/>
              <w:spacing w:beforeLines="0" w:afterLines="0" w:line="240" w:lineRule="auto"/>
              <w:rPr>
                <w:rFonts w:ascii="Times New Roman" w:eastAsia="黑体"/>
                <w:snapToGrid w:val="0"/>
                <w:spacing w:val="-6"/>
                <w:kern w:val="21"/>
                <w:szCs w:val="21"/>
              </w:rPr>
            </w:pPr>
            <w:r>
              <w:rPr>
                <w:rFonts w:ascii="Times New Roman" w:eastAsia="黑体"/>
                <w:snapToGrid w:val="0"/>
                <w:spacing w:val="-6"/>
                <w:kern w:val="21"/>
                <w:szCs w:val="21"/>
              </w:rPr>
              <w:t>本项目</w:t>
            </w:r>
          </w:p>
          <w:p w14:paraId="557C1B6F">
            <w:pPr>
              <w:pStyle w:val="43"/>
              <w:spacing w:beforeLines="0" w:afterLines="0" w:line="240" w:lineRule="auto"/>
              <w:rPr>
                <w:rFonts w:ascii="Times New Roman" w:eastAsia="黑体"/>
                <w:snapToGrid w:val="0"/>
                <w:spacing w:val="-6"/>
                <w:kern w:val="21"/>
                <w:szCs w:val="21"/>
              </w:rPr>
            </w:pPr>
            <w:r>
              <w:rPr>
                <w:rFonts w:ascii="Times New Roman" w:eastAsia="黑体"/>
                <w:snapToGrid w:val="0"/>
                <w:spacing w:val="-6"/>
                <w:kern w:val="21"/>
                <w:szCs w:val="21"/>
              </w:rPr>
              <w:t>排放量（固</w:t>
            </w:r>
            <w:r>
              <w:rPr>
                <w:rFonts w:hint="eastAsia" w:ascii="Times New Roman" w:eastAsia="黑体"/>
                <w:snapToGrid w:val="0"/>
                <w:spacing w:val="-6"/>
                <w:kern w:val="21"/>
                <w:szCs w:val="21"/>
              </w:rPr>
              <w:t>体</w:t>
            </w:r>
            <w:r>
              <w:rPr>
                <w:rFonts w:ascii="Times New Roman" w:eastAsia="黑体"/>
                <w:snapToGrid w:val="0"/>
                <w:spacing w:val="-6"/>
                <w:kern w:val="21"/>
                <w:szCs w:val="21"/>
              </w:rPr>
              <w:t>废</w:t>
            </w:r>
            <w:r>
              <w:rPr>
                <w:rFonts w:hint="eastAsia" w:ascii="Times New Roman" w:eastAsia="黑体"/>
                <w:snapToGrid w:val="0"/>
                <w:spacing w:val="-6"/>
                <w:kern w:val="21"/>
                <w:szCs w:val="21"/>
              </w:rPr>
              <w:t>物</w:t>
            </w:r>
            <w:r>
              <w:rPr>
                <w:rFonts w:ascii="Times New Roman" w:eastAsia="黑体"/>
                <w:snapToGrid w:val="0"/>
                <w:spacing w:val="-6"/>
                <w:kern w:val="21"/>
                <w:szCs w:val="21"/>
              </w:rPr>
              <w:t>产生量）</w:t>
            </w:r>
            <w:r>
              <w:rPr>
                <w:rFonts w:hint="eastAsia" w:hAnsi="宋体" w:cs="宋体"/>
                <w:kern w:val="2"/>
                <w:szCs w:val="21"/>
              </w:rPr>
              <w:t>④</w:t>
            </w:r>
          </w:p>
        </w:tc>
        <w:tc>
          <w:tcPr>
            <w:tcW w:w="1600" w:type="dxa"/>
            <w:tcMar>
              <w:left w:w="28" w:type="dxa"/>
              <w:right w:w="28" w:type="dxa"/>
            </w:tcMar>
            <w:vAlign w:val="center"/>
          </w:tcPr>
          <w:p w14:paraId="153546BF">
            <w:pPr>
              <w:pStyle w:val="43"/>
              <w:spacing w:beforeLines="0" w:afterLines="0" w:line="240" w:lineRule="auto"/>
              <w:rPr>
                <w:rFonts w:ascii="Times New Roman" w:eastAsia="黑体"/>
                <w:snapToGrid w:val="0"/>
                <w:spacing w:val="-16"/>
                <w:kern w:val="21"/>
                <w:szCs w:val="21"/>
              </w:rPr>
            </w:pPr>
            <w:r>
              <w:rPr>
                <w:rFonts w:ascii="Times New Roman" w:eastAsia="黑体"/>
                <w:snapToGrid w:val="0"/>
                <w:spacing w:val="-16"/>
                <w:kern w:val="21"/>
                <w:szCs w:val="21"/>
              </w:rPr>
              <w:t>以新带老削减量</w:t>
            </w:r>
          </w:p>
          <w:p w14:paraId="37E7C390">
            <w:pPr>
              <w:pStyle w:val="43"/>
              <w:spacing w:beforeLines="0" w:afterLines="0" w:line="240" w:lineRule="auto"/>
              <w:rPr>
                <w:rFonts w:ascii="Times New Roman" w:eastAsia="黑体"/>
                <w:snapToGrid w:val="0"/>
                <w:spacing w:val="-16"/>
                <w:kern w:val="21"/>
                <w:szCs w:val="21"/>
              </w:rPr>
            </w:pPr>
            <w:r>
              <w:rPr>
                <w:rFonts w:ascii="Times New Roman" w:eastAsia="黑体"/>
                <w:snapToGrid w:val="0"/>
                <w:spacing w:val="-16"/>
                <w:kern w:val="21"/>
                <w:szCs w:val="21"/>
              </w:rPr>
              <w:t>（新建项目不填）</w:t>
            </w:r>
            <w:r>
              <w:rPr>
                <w:rFonts w:hint="eastAsia" w:hAnsi="宋体" w:cs="宋体"/>
                <w:kern w:val="2"/>
                <w:szCs w:val="21"/>
              </w:rPr>
              <w:t>⑤</w:t>
            </w:r>
          </w:p>
        </w:tc>
        <w:tc>
          <w:tcPr>
            <w:tcW w:w="1600" w:type="dxa"/>
            <w:tcMar>
              <w:left w:w="28" w:type="dxa"/>
              <w:right w:w="28" w:type="dxa"/>
            </w:tcMar>
            <w:vAlign w:val="center"/>
          </w:tcPr>
          <w:p w14:paraId="51462B4D">
            <w:pPr>
              <w:pStyle w:val="43"/>
              <w:spacing w:beforeLines="0" w:afterLines="0" w:line="240" w:lineRule="auto"/>
              <w:rPr>
                <w:rFonts w:ascii="Times New Roman" w:eastAsia="黑体"/>
                <w:snapToGrid w:val="0"/>
                <w:spacing w:val="-16"/>
                <w:kern w:val="21"/>
                <w:szCs w:val="21"/>
              </w:rPr>
            </w:pPr>
            <w:r>
              <w:rPr>
                <w:rFonts w:ascii="Times New Roman" w:eastAsia="黑体"/>
                <w:snapToGrid w:val="0"/>
                <w:spacing w:val="-16"/>
                <w:kern w:val="21"/>
                <w:szCs w:val="21"/>
              </w:rPr>
              <w:t>本项目建成后</w:t>
            </w:r>
          </w:p>
          <w:p w14:paraId="0BF80776">
            <w:pPr>
              <w:pStyle w:val="43"/>
              <w:spacing w:beforeLines="0" w:afterLines="0" w:line="240" w:lineRule="auto"/>
              <w:rPr>
                <w:rFonts w:ascii="Times New Roman" w:eastAsia="黑体"/>
                <w:snapToGrid w:val="0"/>
                <w:spacing w:val="-16"/>
                <w:kern w:val="21"/>
                <w:szCs w:val="21"/>
              </w:rPr>
            </w:pPr>
            <w:r>
              <w:rPr>
                <w:rFonts w:hint="eastAsia" w:ascii="Times New Roman" w:eastAsia="黑体"/>
                <w:snapToGrid w:val="0"/>
                <w:spacing w:val="-16"/>
                <w:kern w:val="21"/>
                <w:szCs w:val="21"/>
              </w:rPr>
              <w:t>全厂</w:t>
            </w:r>
            <w:r>
              <w:rPr>
                <w:rFonts w:ascii="Times New Roman" w:eastAsia="黑体"/>
                <w:snapToGrid w:val="0"/>
                <w:spacing w:val="-16"/>
                <w:kern w:val="21"/>
                <w:szCs w:val="21"/>
              </w:rPr>
              <w:t>排放量（固</w:t>
            </w:r>
            <w:r>
              <w:rPr>
                <w:rFonts w:hint="eastAsia" w:ascii="Times New Roman" w:eastAsia="黑体"/>
                <w:snapToGrid w:val="0"/>
                <w:spacing w:val="-16"/>
                <w:kern w:val="21"/>
                <w:szCs w:val="21"/>
              </w:rPr>
              <w:t>体</w:t>
            </w:r>
            <w:r>
              <w:rPr>
                <w:rFonts w:ascii="Times New Roman" w:eastAsia="黑体"/>
                <w:snapToGrid w:val="0"/>
                <w:spacing w:val="-16"/>
                <w:kern w:val="21"/>
                <w:szCs w:val="21"/>
              </w:rPr>
              <w:t>废</w:t>
            </w:r>
            <w:r>
              <w:rPr>
                <w:rFonts w:hint="eastAsia" w:ascii="Times New Roman" w:eastAsia="黑体"/>
                <w:snapToGrid w:val="0"/>
                <w:spacing w:val="-16"/>
                <w:kern w:val="21"/>
                <w:szCs w:val="21"/>
              </w:rPr>
              <w:t>物</w:t>
            </w:r>
            <w:r>
              <w:rPr>
                <w:rFonts w:ascii="Times New Roman" w:eastAsia="黑体"/>
                <w:snapToGrid w:val="0"/>
                <w:spacing w:val="-16"/>
                <w:kern w:val="21"/>
                <w:szCs w:val="21"/>
              </w:rPr>
              <w:t>产生量）</w:t>
            </w:r>
            <w:r>
              <w:rPr>
                <w:rFonts w:hint="eastAsia" w:hAnsi="宋体" w:cs="宋体"/>
                <w:kern w:val="2"/>
                <w:szCs w:val="21"/>
              </w:rPr>
              <w:t>⑥</w:t>
            </w:r>
          </w:p>
        </w:tc>
        <w:tc>
          <w:tcPr>
            <w:tcW w:w="1601" w:type="dxa"/>
            <w:tcMar>
              <w:left w:w="28" w:type="dxa"/>
              <w:right w:w="28" w:type="dxa"/>
            </w:tcMar>
            <w:vAlign w:val="center"/>
          </w:tcPr>
          <w:p w14:paraId="4542EF37">
            <w:pPr>
              <w:pStyle w:val="43"/>
              <w:spacing w:beforeLines="0" w:afterLines="0" w:line="240" w:lineRule="auto"/>
              <w:rPr>
                <w:rFonts w:ascii="Times New Roman" w:eastAsia="黑体"/>
                <w:snapToGrid w:val="0"/>
                <w:spacing w:val="-6"/>
                <w:kern w:val="21"/>
                <w:szCs w:val="21"/>
              </w:rPr>
            </w:pPr>
            <w:r>
              <w:rPr>
                <w:rFonts w:ascii="Times New Roman" w:eastAsia="黑体"/>
                <w:snapToGrid w:val="0"/>
                <w:spacing w:val="-6"/>
                <w:kern w:val="21"/>
                <w:szCs w:val="21"/>
              </w:rPr>
              <w:t>变化量</w:t>
            </w:r>
          </w:p>
          <w:p w14:paraId="33DFF769">
            <w:pPr>
              <w:pStyle w:val="43"/>
              <w:spacing w:beforeLines="0" w:afterLines="0" w:line="240" w:lineRule="auto"/>
              <w:rPr>
                <w:rFonts w:ascii="Times New Roman" w:eastAsia="黑体"/>
                <w:snapToGrid w:val="0"/>
                <w:spacing w:val="-6"/>
                <w:kern w:val="21"/>
                <w:szCs w:val="21"/>
              </w:rPr>
            </w:pPr>
            <w:r>
              <w:rPr>
                <w:rFonts w:hint="eastAsia" w:hAnsi="宋体" w:cs="宋体"/>
                <w:kern w:val="2"/>
                <w:szCs w:val="21"/>
              </w:rPr>
              <w:t>⑦</w:t>
            </w:r>
          </w:p>
        </w:tc>
      </w:tr>
      <w:tr w14:paraId="0575B3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69" w:type="dxa"/>
            <w:vMerge w:val="restart"/>
            <w:vAlign w:val="center"/>
          </w:tcPr>
          <w:p w14:paraId="0BE47364">
            <w:pPr>
              <w:pStyle w:val="43"/>
              <w:spacing w:beforeLines="0" w:afterLines="0" w:line="240" w:lineRule="auto"/>
              <w:rPr>
                <w:rFonts w:ascii="Times New Roman" w:cs="宋体"/>
                <w:snapToGrid w:val="0"/>
                <w:kern w:val="21"/>
                <w:szCs w:val="21"/>
              </w:rPr>
            </w:pPr>
            <w:r>
              <w:rPr>
                <w:rFonts w:hint="eastAsia" w:ascii="Times New Roman" w:cs="宋体"/>
                <w:snapToGrid w:val="0"/>
                <w:kern w:val="21"/>
                <w:szCs w:val="21"/>
              </w:rPr>
              <w:t>废气</w:t>
            </w:r>
          </w:p>
        </w:tc>
        <w:tc>
          <w:tcPr>
            <w:tcW w:w="1417" w:type="dxa"/>
            <w:vAlign w:val="center"/>
          </w:tcPr>
          <w:p w14:paraId="562B83C4">
            <w:pPr>
              <w:pStyle w:val="43"/>
              <w:spacing w:beforeLines="0" w:afterLines="0" w:line="240" w:lineRule="auto"/>
              <w:rPr>
                <w:rFonts w:ascii="Times New Roman" w:cs="宋体"/>
                <w:snapToGrid w:val="0"/>
                <w:kern w:val="21"/>
                <w:szCs w:val="21"/>
              </w:rPr>
            </w:pPr>
            <w:r>
              <w:rPr>
                <w:rFonts w:hint="eastAsia" w:ascii="Times New Roman" w:cs="宋体"/>
                <w:snapToGrid w:val="0"/>
                <w:kern w:val="21"/>
                <w:szCs w:val="21"/>
              </w:rPr>
              <w:t>颗粒物</w:t>
            </w:r>
          </w:p>
        </w:tc>
        <w:tc>
          <w:tcPr>
            <w:tcW w:w="1600" w:type="dxa"/>
            <w:vAlign w:val="center"/>
          </w:tcPr>
          <w:p w14:paraId="5E6AD822">
            <w:pPr>
              <w:pStyle w:val="43"/>
              <w:spacing w:beforeLines="0" w:afterLines="0" w:line="240" w:lineRule="auto"/>
              <w:rPr>
                <w:rFonts w:ascii="Times New Roman" w:cs="宋体"/>
                <w:snapToGrid w:val="0"/>
                <w:kern w:val="21"/>
                <w:szCs w:val="21"/>
              </w:rPr>
            </w:pPr>
            <w:r>
              <w:rPr>
                <w:rFonts w:hint="eastAsia" w:ascii="Times New Roman" w:cs="宋体"/>
                <w:snapToGrid w:val="0"/>
                <w:kern w:val="21"/>
                <w:szCs w:val="21"/>
              </w:rPr>
              <w:t>/</w:t>
            </w:r>
          </w:p>
        </w:tc>
        <w:tc>
          <w:tcPr>
            <w:tcW w:w="1600" w:type="dxa"/>
            <w:vAlign w:val="center"/>
          </w:tcPr>
          <w:p w14:paraId="43F279B3">
            <w:pPr>
              <w:pStyle w:val="43"/>
              <w:spacing w:beforeLines="0" w:afterLines="0" w:line="240" w:lineRule="auto"/>
              <w:rPr>
                <w:rFonts w:ascii="Times New Roman" w:cs="宋体"/>
                <w:snapToGrid w:val="0"/>
                <w:kern w:val="21"/>
                <w:szCs w:val="21"/>
              </w:rPr>
            </w:pPr>
            <w:r>
              <w:rPr>
                <w:rFonts w:hint="eastAsia" w:ascii="Times New Roman" w:cs="宋体"/>
                <w:snapToGrid w:val="0"/>
                <w:kern w:val="21"/>
                <w:szCs w:val="21"/>
              </w:rPr>
              <w:t>/</w:t>
            </w:r>
          </w:p>
        </w:tc>
        <w:tc>
          <w:tcPr>
            <w:tcW w:w="1600" w:type="dxa"/>
            <w:vAlign w:val="center"/>
          </w:tcPr>
          <w:p w14:paraId="4833B0B4">
            <w:pPr>
              <w:pStyle w:val="43"/>
              <w:spacing w:beforeLines="0" w:afterLines="0" w:line="240" w:lineRule="auto"/>
              <w:rPr>
                <w:rFonts w:ascii="Times New Roman" w:cs="宋体"/>
                <w:snapToGrid w:val="0"/>
                <w:kern w:val="21"/>
                <w:szCs w:val="21"/>
              </w:rPr>
            </w:pPr>
            <w:r>
              <w:rPr>
                <w:rFonts w:hint="eastAsia" w:ascii="Times New Roman" w:cs="宋体"/>
                <w:snapToGrid w:val="0"/>
                <w:kern w:val="21"/>
                <w:szCs w:val="21"/>
              </w:rPr>
              <w:t>/</w:t>
            </w:r>
          </w:p>
        </w:tc>
        <w:tc>
          <w:tcPr>
            <w:tcW w:w="1601" w:type="dxa"/>
            <w:vAlign w:val="center"/>
          </w:tcPr>
          <w:p w14:paraId="020EB9B8">
            <w:pPr>
              <w:pStyle w:val="43"/>
              <w:spacing w:beforeLines="0" w:afterLines="0" w:line="240" w:lineRule="auto"/>
              <w:rPr>
                <w:rFonts w:ascii="Times New Roman"/>
                <w:snapToGrid w:val="0"/>
                <w:color w:val="auto"/>
                <w:kern w:val="21"/>
                <w:szCs w:val="21"/>
                <w:u w:val="single"/>
              </w:rPr>
            </w:pPr>
            <w:bookmarkStart w:id="281" w:name="OLE_LINK92"/>
            <w:bookmarkStart w:id="282" w:name="OLE_LINK290"/>
            <w:r>
              <w:rPr>
                <w:rFonts w:hint="eastAsia"/>
                <w:color w:val="auto"/>
                <w:u w:val="single"/>
              </w:rPr>
              <w:t xml:space="preserve">0.127 </w:t>
            </w:r>
            <w:bookmarkEnd w:id="281"/>
            <w:r>
              <w:rPr>
                <w:rFonts w:ascii="Times New Roman"/>
                <w:snapToGrid w:val="0"/>
                <w:color w:val="auto"/>
                <w:kern w:val="21"/>
                <w:szCs w:val="21"/>
                <w:u w:val="single"/>
              </w:rPr>
              <w:t>t/a</w:t>
            </w:r>
            <w:bookmarkEnd w:id="282"/>
          </w:p>
        </w:tc>
        <w:tc>
          <w:tcPr>
            <w:tcW w:w="1600" w:type="dxa"/>
            <w:vAlign w:val="center"/>
          </w:tcPr>
          <w:p w14:paraId="09F77089">
            <w:pPr>
              <w:pStyle w:val="43"/>
              <w:spacing w:beforeLines="0" w:afterLines="0" w:line="240" w:lineRule="auto"/>
              <w:rPr>
                <w:rFonts w:ascii="Times New Roman"/>
                <w:snapToGrid w:val="0"/>
                <w:color w:val="auto"/>
                <w:kern w:val="21"/>
                <w:szCs w:val="21"/>
                <w:u w:val="single"/>
              </w:rPr>
            </w:pPr>
            <w:r>
              <w:rPr>
                <w:rFonts w:ascii="Times New Roman"/>
                <w:snapToGrid w:val="0"/>
                <w:color w:val="auto"/>
                <w:kern w:val="21"/>
                <w:szCs w:val="21"/>
                <w:u w:val="single"/>
              </w:rPr>
              <w:t>/</w:t>
            </w:r>
          </w:p>
        </w:tc>
        <w:tc>
          <w:tcPr>
            <w:tcW w:w="1600" w:type="dxa"/>
            <w:vAlign w:val="center"/>
          </w:tcPr>
          <w:p w14:paraId="74A4DD15">
            <w:pPr>
              <w:pStyle w:val="43"/>
              <w:spacing w:beforeLines="0" w:afterLines="0" w:line="240" w:lineRule="auto"/>
              <w:rPr>
                <w:rFonts w:ascii="Times New Roman"/>
                <w:snapToGrid w:val="0"/>
                <w:color w:val="auto"/>
                <w:kern w:val="21"/>
                <w:szCs w:val="21"/>
                <w:u w:val="single"/>
              </w:rPr>
            </w:pPr>
            <w:r>
              <w:rPr>
                <w:rFonts w:hint="eastAsia"/>
                <w:color w:val="auto"/>
                <w:u w:val="single"/>
              </w:rPr>
              <w:t xml:space="preserve">0.127 </w:t>
            </w:r>
            <w:r>
              <w:rPr>
                <w:rFonts w:ascii="Times New Roman"/>
                <w:snapToGrid w:val="0"/>
                <w:color w:val="auto"/>
                <w:kern w:val="21"/>
                <w:szCs w:val="21"/>
                <w:u w:val="single"/>
              </w:rPr>
              <w:t>t/a</w:t>
            </w:r>
          </w:p>
        </w:tc>
        <w:tc>
          <w:tcPr>
            <w:tcW w:w="1601" w:type="dxa"/>
            <w:vAlign w:val="center"/>
          </w:tcPr>
          <w:p w14:paraId="73C270FE">
            <w:pPr>
              <w:pStyle w:val="43"/>
              <w:spacing w:beforeLines="0" w:afterLines="0" w:line="240" w:lineRule="auto"/>
              <w:rPr>
                <w:rFonts w:ascii="Times New Roman"/>
                <w:snapToGrid w:val="0"/>
                <w:color w:val="auto"/>
                <w:kern w:val="21"/>
                <w:szCs w:val="21"/>
                <w:u w:val="single"/>
              </w:rPr>
            </w:pPr>
            <w:r>
              <w:rPr>
                <w:rFonts w:hint="eastAsia"/>
                <w:color w:val="auto"/>
                <w:u w:val="single"/>
              </w:rPr>
              <w:t xml:space="preserve">0.127 </w:t>
            </w:r>
            <w:r>
              <w:rPr>
                <w:rFonts w:ascii="Times New Roman"/>
                <w:snapToGrid w:val="0"/>
                <w:color w:val="auto"/>
                <w:kern w:val="21"/>
                <w:szCs w:val="21"/>
                <w:u w:val="single"/>
              </w:rPr>
              <w:t>t/a</w:t>
            </w:r>
          </w:p>
        </w:tc>
      </w:tr>
      <w:tr w14:paraId="3EA826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69" w:type="dxa"/>
            <w:vMerge w:val="continue"/>
            <w:vAlign w:val="center"/>
          </w:tcPr>
          <w:p w14:paraId="0E7DE2F0">
            <w:pPr>
              <w:pStyle w:val="43"/>
              <w:spacing w:beforeLines="0" w:afterLines="0" w:line="240" w:lineRule="auto"/>
              <w:rPr>
                <w:rFonts w:ascii="Times New Roman" w:cs="宋体"/>
                <w:snapToGrid w:val="0"/>
                <w:kern w:val="21"/>
                <w:szCs w:val="21"/>
              </w:rPr>
            </w:pPr>
          </w:p>
        </w:tc>
        <w:tc>
          <w:tcPr>
            <w:tcW w:w="1417" w:type="dxa"/>
            <w:vAlign w:val="center"/>
          </w:tcPr>
          <w:p w14:paraId="0E77CF75">
            <w:pPr>
              <w:pStyle w:val="43"/>
              <w:spacing w:beforeLines="0" w:afterLines="0" w:line="240" w:lineRule="auto"/>
              <w:rPr>
                <w:rFonts w:ascii="Times New Roman" w:cs="宋体"/>
                <w:snapToGrid w:val="0"/>
                <w:kern w:val="21"/>
                <w:szCs w:val="21"/>
              </w:rPr>
            </w:pPr>
            <w:r>
              <w:rPr>
                <w:rFonts w:hint="eastAsia" w:ascii="Times New Roman" w:cs="宋体"/>
                <w:snapToGrid w:val="0"/>
                <w:kern w:val="21"/>
                <w:szCs w:val="21"/>
              </w:rPr>
              <w:t>二氧化硫</w:t>
            </w:r>
          </w:p>
        </w:tc>
        <w:tc>
          <w:tcPr>
            <w:tcW w:w="1600" w:type="dxa"/>
            <w:vAlign w:val="center"/>
          </w:tcPr>
          <w:p w14:paraId="255E6CCF">
            <w:pPr>
              <w:pStyle w:val="43"/>
              <w:spacing w:beforeLines="0" w:afterLines="0" w:line="240" w:lineRule="auto"/>
              <w:rPr>
                <w:rFonts w:ascii="Times New Roman" w:cs="宋体"/>
                <w:snapToGrid w:val="0"/>
                <w:kern w:val="21"/>
                <w:szCs w:val="21"/>
              </w:rPr>
            </w:pPr>
            <w:r>
              <w:rPr>
                <w:rFonts w:hint="eastAsia" w:ascii="Times New Roman" w:cs="宋体"/>
                <w:snapToGrid w:val="0"/>
                <w:kern w:val="21"/>
                <w:szCs w:val="21"/>
              </w:rPr>
              <w:t>/</w:t>
            </w:r>
          </w:p>
        </w:tc>
        <w:tc>
          <w:tcPr>
            <w:tcW w:w="1600" w:type="dxa"/>
            <w:vAlign w:val="center"/>
          </w:tcPr>
          <w:p w14:paraId="3281089B">
            <w:pPr>
              <w:pStyle w:val="43"/>
              <w:spacing w:beforeLines="0" w:afterLines="0" w:line="240" w:lineRule="auto"/>
              <w:rPr>
                <w:rFonts w:ascii="Times New Roman" w:cs="宋体"/>
                <w:snapToGrid w:val="0"/>
                <w:kern w:val="21"/>
                <w:szCs w:val="21"/>
              </w:rPr>
            </w:pPr>
            <w:r>
              <w:rPr>
                <w:rFonts w:hint="eastAsia" w:ascii="Times New Roman" w:cs="宋体"/>
                <w:snapToGrid w:val="0"/>
                <w:kern w:val="21"/>
                <w:szCs w:val="21"/>
              </w:rPr>
              <w:t>/</w:t>
            </w:r>
          </w:p>
        </w:tc>
        <w:tc>
          <w:tcPr>
            <w:tcW w:w="1600" w:type="dxa"/>
            <w:vAlign w:val="center"/>
          </w:tcPr>
          <w:p w14:paraId="1B34001F">
            <w:pPr>
              <w:pStyle w:val="43"/>
              <w:spacing w:beforeLines="0" w:afterLines="0" w:line="240" w:lineRule="auto"/>
              <w:rPr>
                <w:rFonts w:ascii="Times New Roman" w:cs="宋体"/>
                <w:snapToGrid w:val="0"/>
                <w:kern w:val="21"/>
                <w:szCs w:val="21"/>
              </w:rPr>
            </w:pPr>
            <w:r>
              <w:rPr>
                <w:rFonts w:hint="eastAsia" w:ascii="Times New Roman" w:cs="宋体"/>
                <w:snapToGrid w:val="0"/>
                <w:kern w:val="21"/>
                <w:szCs w:val="21"/>
              </w:rPr>
              <w:t>/</w:t>
            </w:r>
          </w:p>
        </w:tc>
        <w:tc>
          <w:tcPr>
            <w:tcW w:w="1601" w:type="dxa"/>
            <w:vAlign w:val="center"/>
          </w:tcPr>
          <w:p w14:paraId="34F568A0">
            <w:pPr>
              <w:pStyle w:val="43"/>
              <w:spacing w:beforeLines="0" w:afterLines="0" w:line="240" w:lineRule="auto"/>
              <w:rPr>
                <w:rFonts w:ascii="Times New Roman"/>
                <w:snapToGrid w:val="0"/>
                <w:kern w:val="21"/>
                <w:szCs w:val="21"/>
              </w:rPr>
            </w:pPr>
            <w:bookmarkStart w:id="283" w:name="OLE_LINK298"/>
            <w:r>
              <w:rPr>
                <w:rFonts w:hint="eastAsia"/>
              </w:rPr>
              <w:t xml:space="preserve">12.925 </w:t>
            </w:r>
            <w:bookmarkEnd w:id="283"/>
            <w:r>
              <w:rPr>
                <w:rFonts w:ascii="Times New Roman"/>
                <w:snapToGrid w:val="0"/>
                <w:kern w:val="21"/>
                <w:szCs w:val="21"/>
              </w:rPr>
              <w:t>t/a</w:t>
            </w:r>
          </w:p>
        </w:tc>
        <w:tc>
          <w:tcPr>
            <w:tcW w:w="1600" w:type="dxa"/>
            <w:vAlign w:val="center"/>
          </w:tcPr>
          <w:p w14:paraId="45BB80EA">
            <w:pPr>
              <w:pStyle w:val="43"/>
              <w:spacing w:beforeLines="0" w:afterLines="0" w:line="240" w:lineRule="auto"/>
              <w:rPr>
                <w:rFonts w:ascii="Times New Roman"/>
                <w:snapToGrid w:val="0"/>
                <w:kern w:val="21"/>
                <w:szCs w:val="21"/>
              </w:rPr>
            </w:pPr>
            <w:r>
              <w:rPr>
                <w:rFonts w:ascii="Times New Roman"/>
                <w:snapToGrid w:val="0"/>
                <w:kern w:val="21"/>
                <w:szCs w:val="21"/>
              </w:rPr>
              <w:t>/</w:t>
            </w:r>
          </w:p>
        </w:tc>
        <w:tc>
          <w:tcPr>
            <w:tcW w:w="1600" w:type="dxa"/>
            <w:vAlign w:val="center"/>
          </w:tcPr>
          <w:p w14:paraId="454D7317">
            <w:pPr>
              <w:pStyle w:val="43"/>
              <w:spacing w:beforeLines="0" w:afterLines="0" w:line="240" w:lineRule="auto"/>
              <w:rPr>
                <w:rFonts w:ascii="Times New Roman"/>
                <w:snapToGrid w:val="0"/>
                <w:kern w:val="21"/>
                <w:szCs w:val="21"/>
              </w:rPr>
            </w:pPr>
            <w:r>
              <w:rPr>
                <w:rFonts w:hint="eastAsia"/>
              </w:rPr>
              <w:t xml:space="preserve">12.925 </w:t>
            </w:r>
            <w:r>
              <w:rPr>
                <w:rFonts w:ascii="Times New Roman"/>
                <w:snapToGrid w:val="0"/>
                <w:kern w:val="21"/>
                <w:szCs w:val="21"/>
              </w:rPr>
              <w:t>t/a</w:t>
            </w:r>
          </w:p>
        </w:tc>
        <w:tc>
          <w:tcPr>
            <w:tcW w:w="1601" w:type="dxa"/>
            <w:vAlign w:val="center"/>
          </w:tcPr>
          <w:p w14:paraId="47450A47">
            <w:pPr>
              <w:pStyle w:val="43"/>
              <w:spacing w:beforeLines="0" w:afterLines="0" w:line="240" w:lineRule="auto"/>
              <w:rPr>
                <w:rFonts w:ascii="Times New Roman"/>
                <w:snapToGrid w:val="0"/>
                <w:kern w:val="21"/>
                <w:szCs w:val="21"/>
              </w:rPr>
            </w:pPr>
            <w:r>
              <w:rPr>
                <w:rFonts w:hint="eastAsia"/>
              </w:rPr>
              <w:t xml:space="preserve">12.925 </w:t>
            </w:r>
            <w:bookmarkStart w:id="284" w:name="OLE_LINK291"/>
            <w:r>
              <w:rPr>
                <w:rFonts w:ascii="Times New Roman"/>
                <w:snapToGrid w:val="0"/>
                <w:kern w:val="21"/>
                <w:szCs w:val="21"/>
              </w:rPr>
              <w:t>t/a</w:t>
            </w:r>
            <w:bookmarkEnd w:id="284"/>
          </w:p>
        </w:tc>
      </w:tr>
      <w:tr w14:paraId="5D38FF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69" w:type="dxa"/>
            <w:vMerge w:val="continue"/>
            <w:vAlign w:val="center"/>
          </w:tcPr>
          <w:p w14:paraId="357882B2">
            <w:pPr>
              <w:pStyle w:val="43"/>
              <w:spacing w:beforeLines="0" w:afterLines="0" w:line="240" w:lineRule="auto"/>
              <w:rPr>
                <w:rFonts w:ascii="Times New Roman" w:cs="宋体"/>
                <w:snapToGrid w:val="0"/>
                <w:kern w:val="21"/>
                <w:szCs w:val="21"/>
              </w:rPr>
            </w:pPr>
          </w:p>
        </w:tc>
        <w:tc>
          <w:tcPr>
            <w:tcW w:w="1417" w:type="dxa"/>
            <w:vAlign w:val="center"/>
          </w:tcPr>
          <w:p w14:paraId="6B3AA993">
            <w:pPr>
              <w:pStyle w:val="43"/>
              <w:spacing w:beforeLines="0" w:afterLines="0" w:line="240" w:lineRule="auto"/>
              <w:rPr>
                <w:rFonts w:ascii="Times New Roman" w:cs="宋体"/>
                <w:snapToGrid w:val="0"/>
                <w:kern w:val="21"/>
                <w:szCs w:val="21"/>
              </w:rPr>
            </w:pPr>
            <w:r>
              <w:rPr>
                <w:rFonts w:hint="eastAsia" w:ascii="Times New Roman" w:cs="宋体"/>
                <w:snapToGrid w:val="0"/>
                <w:kern w:val="21"/>
                <w:szCs w:val="21"/>
              </w:rPr>
              <w:t>氮氧化物</w:t>
            </w:r>
          </w:p>
        </w:tc>
        <w:tc>
          <w:tcPr>
            <w:tcW w:w="1600" w:type="dxa"/>
            <w:vAlign w:val="center"/>
          </w:tcPr>
          <w:p w14:paraId="44884E1C">
            <w:pPr>
              <w:pStyle w:val="43"/>
              <w:spacing w:beforeLines="0" w:afterLines="0" w:line="240" w:lineRule="auto"/>
              <w:rPr>
                <w:rFonts w:ascii="Times New Roman" w:cs="宋体"/>
                <w:snapToGrid w:val="0"/>
                <w:kern w:val="21"/>
                <w:szCs w:val="21"/>
              </w:rPr>
            </w:pPr>
            <w:r>
              <w:rPr>
                <w:rFonts w:hint="eastAsia" w:ascii="Times New Roman" w:cs="宋体"/>
                <w:snapToGrid w:val="0"/>
                <w:kern w:val="21"/>
                <w:szCs w:val="21"/>
              </w:rPr>
              <w:t>/</w:t>
            </w:r>
          </w:p>
        </w:tc>
        <w:tc>
          <w:tcPr>
            <w:tcW w:w="1600" w:type="dxa"/>
            <w:vAlign w:val="center"/>
          </w:tcPr>
          <w:p w14:paraId="3C295C9E">
            <w:pPr>
              <w:pStyle w:val="43"/>
              <w:spacing w:beforeLines="0" w:afterLines="0" w:line="240" w:lineRule="auto"/>
              <w:rPr>
                <w:rFonts w:ascii="Times New Roman" w:cs="宋体"/>
                <w:snapToGrid w:val="0"/>
                <w:kern w:val="21"/>
                <w:szCs w:val="21"/>
              </w:rPr>
            </w:pPr>
            <w:r>
              <w:rPr>
                <w:rFonts w:hint="eastAsia" w:ascii="Times New Roman" w:cs="宋体"/>
                <w:snapToGrid w:val="0"/>
                <w:kern w:val="21"/>
                <w:szCs w:val="21"/>
              </w:rPr>
              <w:t>/</w:t>
            </w:r>
          </w:p>
        </w:tc>
        <w:tc>
          <w:tcPr>
            <w:tcW w:w="1600" w:type="dxa"/>
            <w:vAlign w:val="center"/>
          </w:tcPr>
          <w:p w14:paraId="19D2E813">
            <w:pPr>
              <w:pStyle w:val="43"/>
              <w:spacing w:beforeLines="0" w:afterLines="0" w:line="240" w:lineRule="auto"/>
              <w:rPr>
                <w:rFonts w:ascii="Times New Roman" w:cs="宋体"/>
                <w:snapToGrid w:val="0"/>
                <w:kern w:val="21"/>
                <w:szCs w:val="21"/>
              </w:rPr>
            </w:pPr>
            <w:r>
              <w:rPr>
                <w:rFonts w:hint="eastAsia" w:ascii="Times New Roman" w:cs="宋体"/>
                <w:snapToGrid w:val="0"/>
                <w:kern w:val="21"/>
                <w:szCs w:val="21"/>
              </w:rPr>
              <w:t>/</w:t>
            </w:r>
          </w:p>
        </w:tc>
        <w:tc>
          <w:tcPr>
            <w:tcW w:w="1601" w:type="dxa"/>
            <w:vAlign w:val="center"/>
          </w:tcPr>
          <w:p w14:paraId="4B1DF01A">
            <w:pPr>
              <w:pStyle w:val="43"/>
              <w:spacing w:beforeLines="0" w:afterLines="0" w:line="240" w:lineRule="auto"/>
              <w:rPr>
                <w:rFonts w:ascii="Times New Roman"/>
                <w:snapToGrid w:val="0"/>
                <w:kern w:val="21"/>
                <w:szCs w:val="21"/>
              </w:rPr>
            </w:pPr>
            <w:bookmarkStart w:id="285" w:name="OLE_LINK299"/>
            <w:r>
              <w:rPr>
                <w:rFonts w:hint="eastAsia"/>
              </w:rPr>
              <w:t>18.096</w:t>
            </w:r>
            <w:bookmarkEnd w:id="285"/>
            <w:r>
              <w:rPr>
                <w:rFonts w:ascii="Times New Roman"/>
                <w:snapToGrid w:val="0"/>
                <w:kern w:val="21"/>
                <w:szCs w:val="21"/>
              </w:rPr>
              <w:t>t/a</w:t>
            </w:r>
          </w:p>
        </w:tc>
        <w:tc>
          <w:tcPr>
            <w:tcW w:w="1600" w:type="dxa"/>
            <w:vAlign w:val="center"/>
          </w:tcPr>
          <w:p w14:paraId="5690EF0F">
            <w:pPr>
              <w:pStyle w:val="43"/>
              <w:spacing w:beforeLines="0" w:afterLines="0" w:line="240" w:lineRule="auto"/>
              <w:rPr>
                <w:rFonts w:ascii="Times New Roman"/>
                <w:snapToGrid w:val="0"/>
                <w:kern w:val="21"/>
                <w:szCs w:val="21"/>
              </w:rPr>
            </w:pPr>
            <w:r>
              <w:rPr>
                <w:rFonts w:ascii="Times New Roman"/>
                <w:snapToGrid w:val="0"/>
                <w:kern w:val="21"/>
                <w:szCs w:val="21"/>
              </w:rPr>
              <w:t>/</w:t>
            </w:r>
          </w:p>
        </w:tc>
        <w:tc>
          <w:tcPr>
            <w:tcW w:w="1600" w:type="dxa"/>
            <w:vAlign w:val="center"/>
          </w:tcPr>
          <w:p w14:paraId="112FF595">
            <w:pPr>
              <w:pStyle w:val="43"/>
              <w:spacing w:beforeLines="0" w:afterLines="0" w:line="240" w:lineRule="auto"/>
              <w:rPr>
                <w:rFonts w:ascii="Times New Roman"/>
                <w:snapToGrid w:val="0"/>
                <w:kern w:val="21"/>
                <w:szCs w:val="21"/>
              </w:rPr>
            </w:pPr>
            <w:r>
              <w:rPr>
                <w:rFonts w:hint="eastAsia"/>
              </w:rPr>
              <w:t>18.096</w:t>
            </w:r>
            <w:r>
              <w:rPr>
                <w:rFonts w:ascii="Times New Roman"/>
                <w:snapToGrid w:val="0"/>
                <w:kern w:val="21"/>
                <w:szCs w:val="21"/>
              </w:rPr>
              <w:t>t/a</w:t>
            </w:r>
          </w:p>
        </w:tc>
        <w:tc>
          <w:tcPr>
            <w:tcW w:w="1601" w:type="dxa"/>
            <w:vAlign w:val="center"/>
          </w:tcPr>
          <w:p w14:paraId="77ED1484">
            <w:pPr>
              <w:pStyle w:val="43"/>
              <w:spacing w:beforeLines="0" w:afterLines="0" w:line="240" w:lineRule="auto"/>
              <w:rPr>
                <w:rFonts w:ascii="Times New Roman"/>
                <w:snapToGrid w:val="0"/>
                <w:kern w:val="21"/>
                <w:szCs w:val="21"/>
              </w:rPr>
            </w:pPr>
            <w:r>
              <w:rPr>
                <w:rFonts w:hint="eastAsia"/>
              </w:rPr>
              <w:t>18.096</w:t>
            </w:r>
            <w:r>
              <w:rPr>
                <w:rFonts w:ascii="Times New Roman"/>
                <w:snapToGrid w:val="0"/>
                <w:kern w:val="21"/>
                <w:szCs w:val="21"/>
              </w:rPr>
              <w:t>t/a</w:t>
            </w:r>
          </w:p>
        </w:tc>
      </w:tr>
      <w:tr w14:paraId="4EDE5C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69" w:type="dxa"/>
            <w:vMerge w:val="restart"/>
            <w:vAlign w:val="center"/>
          </w:tcPr>
          <w:p w14:paraId="13FBD6B6">
            <w:pPr>
              <w:pStyle w:val="43"/>
              <w:spacing w:beforeLines="0" w:afterLines="0" w:line="240" w:lineRule="auto"/>
              <w:rPr>
                <w:rFonts w:ascii="Times New Roman" w:cs="宋体"/>
                <w:snapToGrid w:val="0"/>
                <w:kern w:val="21"/>
                <w:szCs w:val="21"/>
              </w:rPr>
            </w:pPr>
            <w:r>
              <w:rPr>
                <w:rFonts w:hint="eastAsia" w:ascii="Times New Roman" w:cs="宋体"/>
                <w:snapToGrid w:val="0"/>
                <w:kern w:val="21"/>
                <w:szCs w:val="21"/>
              </w:rPr>
              <w:t>废水</w:t>
            </w:r>
          </w:p>
        </w:tc>
        <w:tc>
          <w:tcPr>
            <w:tcW w:w="1417" w:type="dxa"/>
            <w:vAlign w:val="center"/>
          </w:tcPr>
          <w:p w14:paraId="3F68B32C">
            <w:pPr>
              <w:pStyle w:val="43"/>
              <w:spacing w:beforeLines="0" w:afterLines="0" w:line="240" w:lineRule="auto"/>
              <w:rPr>
                <w:rFonts w:ascii="Times New Roman" w:cs="宋体"/>
                <w:snapToGrid w:val="0"/>
                <w:kern w:val="21"/>
                <w:szCs w:val="21"/>
              </w:rPr>
            </w:pPr>
            <w:r>
              <w:rPr>
                <w:rFonts w:hint="eastAsia" w:ascii="Times New Roman" w:cs="宋体"/>
                <w:snapToGrid w:val="0"/>
                <w:kern w:val="21"/>
                <w:szCs w:val="21"/>
              </w:rPr>
              <w:t>C</w:t>
            </w:r>
            <w:r>
              <w:rPr>
                <w:rFonts w:ascii="Times New Roman" w:cs="宋体"/>
                <w:snapToGrid w:val="0"/>
                <w:kern w:val="21"/>
                <w:szCs w:val="21"/>
              </w:rPr>
              <w:t>OD</w:t>
            </w:r>
          </w:p>
        </w:tc>
        <w:tc>
          <w:tcPr>
            <w:tcW w:w="1600" w:type="dxa"/>
            <w:vAlign w:val="center"/>
          </w:tcPr>
          <w:p w14:paraId="2EAE7B86">
            <w:pPr>
              <w:pStyle w:val="43"/>
              <w:spacing w:beforeLines="0" w:afterLines="0" w:line="240" w:lineRule="auto"/>
              <w:rPr>
                <w:rFonts w:ascii="Times New Roman" w:cs="宋体"/>
                <w:snapToGrid w:val="0"/>
                <w:kern w:val="21"/>
                <w:szCs w:val="21"/>
              </w:rPr>
            </w:pPr>
            <w:r>
              <w:rPr>
                <w:rFonts w:hint="eastAsia" w:ascii="Times New Roman" w:cs="宋体"/>
                <w:snapToGrid w:val="0"/>
                <w:kern w:val="21"/>
                <w:szCs w:val="21"/>
              </w:rPr>
              <w:t>/</w:t>
            </w:r>
          </w:p>
        </w:tc>
        <w:tc>
          <w:tcPr>
            <w:tcW w:w="1600" w:type="dxa"/>
            <w:vAlign w:val="center"/>
          </w:tcPr>
          <w:p w14:paraId="76C583AA">
            <w:pPr>
              <w:pStyle w:val="43"/>
              <w:spacing w:beforeLines="0" w:afterLines="0" w:line="240" w:lineRule="auto"/>
              <w:rPr>
                <w:rFonts w:ascii="Times New Roman" w:cs="宋体"/>
                <w:snapToGrid w:val="0"/>
                <w:kern w:val="21"/>
                <w:szCs w:val="21"/>
              </w:rPr>
            </w:pPr>
            <w:r>
              <w:rPr>
                <w:rFonts w:hint="eastAsia" w:ascii="Times New Roman" w:cs="宋体"/>
                <w:snapToGrid w:val="0"/>
                <w:kern w:val="21"/>
                <w:szCs w:val="21"/>
              </w:rPr>
              <w:t>/</w:t>
            </w:r>
          </w:p>
        </w:tc>
        <w:tc>
          <w:tcPr>
            <w:tcW w:w="1600" w:type="dxa"/>
            <w:vAlign w:val="center"/>
          </w:tcPr>
          <w:p w14:paraId="1259159C">
            <w:pPr>
              <w:pStyle w:val="43"/>
              <w:spacing w:beforeLines="0" w:afterLines="0" w:line="240" w:lineRule="auto"/>
              <w:rPr>
                <w:rFonts w:ascii="Times New Roman" w:cs="宋体"/>
                <w:snapToGrid w:val="0"/>
                <w:kern w:val="21"/>
                <w:szCs w:val="21"/>
              </w:rPr>
            </w:pPr>
            <w:r>
              <w:rPr>
                <w:rFonts w:hint="eastAsia" w:ascii="Times New Roman" w:cs="宋体"/>
                <w:snapToGrid w:val="0"/>
                <w:kern w:val="21"/>
                <w:szCs w:val="21"/>
              </w:rPr>
              <w:t>/</w:t>
            </w:r>
          </w:p>
        </w:tc>
        <w:tc>
          <w:tcPr>
            <w:tcW w:w="1601" w:type="dxa"/>
            <w:vAlign w:val="center"/>
          </w:tcPr>
          <w:p w14:paraId="7E9EB718">
            <w:pPr>
              <w:pStyle w:val="43"/>
              <w:spacing w:beforeLines="0" w:afterLines="0" w:line="240" w:lineRule="auto"/>
              <w:rPr>
                <w:rFonts w:ascii="Times New Roman"/>
                <w:snapToGrid w:val="0"/>
                <w:color w:val="auto"/>
                <w:kern w:val="21"/>
                <w:szCs w:val="21"/>
                <w:u w:val="single"/>
              </w:rPr>
            </w:pPr>
            <w:r>
              <w:rPr>
                <w:rFonts w:hint="eastAsia"/>
                <w:color w:val="auto"/>
                <w:u w:val="single"/>
              </w:rPr>
              <w:t>8.489</w:t>
            </w:r>
            <w:r>
              <w:rPr>
                <w:rFonts w:ascii="Times New Roman"/>
                <w:snapToGrid w:val="0"/>
                <w:color w:val="auto"/>
                <w:kern w:val="21"/>
                <w:szCs w:val="21"/>
                <w:u w:val="single"/>
              </w:rPr>
              <w:t>t/a</w:t>
            </w:r>
          </w:p>
        </w:tc>
        <w:tc>
          <w:tcPr>
            <w:tcW w:w="1600" w:type="dxa"/>
            <w:vAlign w:val="center"/>
          </w:tcPr>
          <w:p w14:paraId="29E3011E">
            <w:pPr>
              <w:pStyle w:val="43"/>
              <w:spacing w:beforeLines="0" w:afterLines="0" w:line="240" w:lineRule="auto"/>
              <w:rPr>
                <w:rFonts w:ascii="Times New Roman"/>
                <w:snapToGrid w:val="0"/>
                <w:color w:val="auto"/>
                <w:kern w:val="21"/>
                <w:szCs w:val="21"/>
                <w:u w:val="single"/>
              </w:rPr>
            </w:pPr>
            <w:r>
              <w:rPr>
                <w:rFonts w:ascii="Times New Roman"/>
                <w:snapToGrid w:val="0"/>
                <w:color w:val="auto"/>
                <w:kern w:val="21"/>
                <w:szCs w:val="21"/>
                <w:u w:val="single"/>
              </w:rPr>
              <w:t>/</w:t>
            </w:r>
          </w:p>
        </w:tc>
        <w:tc>
          <w:tcPr>
            <w:tcW w:w="1600" w:type="dxa"/>
            <w:vAlign w:val="center"/>
          </w:tcPr>
          <w:p w14:paraId="04AE96DF">
            <w:pPr>
              <w:pStyle w:val="43"/>
              <w:spacing w:beforeLines="0" w:afterLines="0" w:line="240" w:lineRule="auto"/>
              <w:rPr>
                <w:rFonts w:ascii="Times New Roman"/>
                <w:snapToGrid w:val="0"/>
                <w:color w:val="auto"/>
                <w:kern w:val="21"/>
                <w:szCs w:val="21"/>
                <w:u w:val="single"/>
              </w:rPr>
            </w:pPr>
            <w:r>
              <w:rPr>
                <w:rFonts w:hint="eastAsia"/>
                <w:color w:val="auto"/>
                <w:u w:val="single"/>
              </w:rPr>
              <w:t>8.489</w:t>
            </w:r>
            <w:r>
              <w:rPr>
                <w:rFonts w:ascii="Times New Roman"/>
                <w:snapToGrid w:val="0"/>
                <w:color w:val="auto"/>
                <w:kern w:val="21"/>
                <w:szCs w:val="21"/>
                <w:u w:val="single"/>
              </w:rPr>
              <w:t>t/a</w:t>
            </w:r>
          </w:p>
        </w:tc>
        <w:tc>
          <w:tcPr>
            <w:tcW w:w="1601" w:type="dxa"/>
            <w:vAlign w:val="center"/>
          </w:tcPr>
          <w:p w14:paraId="38DE9A9D">
            <w:pPr>
              <w:pStyle w:val="43"/>
              <w:spacing w:beforeLines="0" w:afterLines="0" w:line="240" w:lineRule="auto"/>
              <w:rPr>
                <w:rFonts w:ascii="Times New Roman"/>
                <w:snapToGrid w:val="0"/>
                <w:color w:val="auto"/>
                <w:kern w:val="21"/>
                <w:szCs w:val="21"/>
                <w:u w:val="single"/>
              </w:rPr>
            </w:pPr>
            <w:r>
              <w:rPr>
                <w:rFonts w:hint="eastAsia"/>
                <w:color w:val="auto"/>
                <w:u w:val="single"/>
              </w:rPr>
              <w:t>8.489</w:t>
            </w:r>
            <w:r>
              <w:rPr>
                <w:rFonts w:ascii="Times New Roman"/>
                <w:snapToGrid w:val="0"/>
                <w:color w:val="auto"/>
                <w:kern w:val="21"/>
                <w:szCs w:val="21"/>
                <w:u w:val="single"/>
              </w:rPr>
              <w:t>t/a</w:t>
            </w:r>
          </w:p>
        </w:tc>
      </w:tr>
      <w:tr w14:paraId="2729FA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69" w:type="dxa"/>
            <w:vMerge w:val="continue"/>
            <w:vAlign w:val="center"/>
          </w:tcPr>
          <w:p w14:paraId="43885CC0">
            <w:pPr>
              <w:pStyle w:val="43"/>
              <w:spacing w:beforeLines="0" w:afterLines="0" w:line="240" w:lineRule="auto"/>
              <w:rPr>
                <w:rFonts w:ascii="Times New Roman" w:cs="宋体"/>
                <w:snapToGrid w:val="0"/>
                <w:kern w:val="21"/>
                <w:szCs w:val="21"/>
              </w:rPr>
            </w:pPr>
          </w:p>
        </w:tc>
        <w:tc>
          <w:tcPr>
            <w:tcW w:w="1417" w:type="dxa"/>
            <w:vAlign w:val="center"/>
          </w:tcPr>
          <w:p w14:paraId="615B1CF8">
            <w:pPr>
              <w:pStyle w:val="43"/>
              <w:spacing w:beforeLines="0" w:afterLines="0" w:line="240" w:lineRule="auto"/>
              <w:rPr>
                <w:rFonts w:ascii="Times New Roman" w:cs="宋体"/>
                <w:snapToGrid w:val="0"/>
                <w:kern w:val="21"/>
                <w:szCs w:val="21"/>
              </w:rPr>
            </w:pPr>
            <w:r>
              <w:rPr>
                <w:rFonts w:hint="eastAsia" w:ascii="Times New Roman" w:cs="宋体"/>
                <w:snapToGrid w:val="0"/>
                <w:kern w:val="21"/>
                <w:szCs w:val="21"/>
              </w:rPr>
              <w:t>氨氮</w:t>
            </w:r>
          </w:p>
        </w:tc>
        <w:tc>
          <w:tcPr>
            <w:tcW w:w="1600" w:type="dxa"/>
            <w:vAlign w:val="center"/>
          </w:tcPr>
          <w:p w14:paraId="7F735385">
            <w:pPr>
              <w:pStyle w:val="43"/>
              <w:spacing w:beforeLines="0" w:afterLines="0" w:line="240" w:lineRule="auto"/>
              <w:rPr>
                <w:rFonts w:ascii="Times New Roman" w:cs="宋体"/>
                <w:snapToGrid w:val="0"/>
                <w:kern w:val="21"/>
                <w:szCs w:val="21"/>
              </w:rPr>
            </w:pPr>
            <w:r>
              <w:rPr>
                <w:rFonts w:hint="eastAsia" w:ascii="Times New Roman" w:cs="宋体"/>
                <w:snapToGrid w:val="0"/>
                <w:kern w:val="21"/>
                <w:szCs w:val="21"/>
              </w:rPr>
              <w:t>/</w:t>
            </w:r>
          </w:p>
        </w:tc>
        <w:tc>
          <w:tcPr>
            <w:tcW w:w="1600" w:type="dxa"/>
            <w:vAlign w:val="center"/>
          </w:tcPr>
          <w:p w14:paraId="06581812">
            <w:pPr>
              <w:pStyle w:val="43"/>
              <w:spacing w:beforeLines="0" w:afterLines="0" w:line="240" w:lineRule="auto"/>
              <w:rPr>
                <w:rFonts w:ascii="Times New Roman" w:cs="宋体"/>
                <w:snapToGrid w:val="0"/>
                <w:kern w:val="21"/>
                <w:szCs w:val="21"/>
              </w:rPr>
            </w:pPr>
            <w:r>
              <w:rPr>
                <w:rFonts w:hint="eastAsia" w:ascii="Times New Roman" w:cs="宋体"/>
                <w:snapToGrid w:val="0"/>
                <w:kern w:val="21"/>
                <w:szCs w:val="21"/>
              </w:rPr>
              <w:t>/</w:t>
            </w:r>
          </w:p>
        </w:tc>
        <w:tc>
          <w:tcPr>
            <w:tcW w:w="1600" w:type="dxa"/>
            <w:vAlign w:val="center"/>
          </w:tcPr>
          <w:p w14:paraId="7CA01CAA">
            <w:pPr>
              <w:pStyle w:val="43"/>
              <w:spacing w:beforeLines="0" w:afterLines="0" w:line="240" w:lineRule="auto"/>
              <w:rPr>
                <w:rFonts w:ascii="Times New Roman" w:cs="宋体"/>
                <w:snapToGrid w:val="0"/>
                <w:kern w:val="21"/>
                <w:szCs w:val="21"/>
              </w:rPr>
            </w:pPr>
            <w:r>
              <w:rPr>
                <w:rFonts w:hint="eastAsia" w:ascii="Times New Roman" w:cs="宋体"/>
                <w:snapToGrid w:val="0"/>
                <w:kern w:val="21"/>
                <w:szCs w:val="21"/>
              </w:rPr>
              <w:t>/</w:t>
            </w:r>
          </w:p>
        </w:tc>
        <w:tc>
          <w:tcPr>
            <w:tcW w:w="1601" w:type="dxa"/>
            <w:vAlign w:val="center"/>
          </w:tcPr>
          <w:p w14:paraId="25789374">
            <w:pPr>
              <w:pStyle w:val="43"/>
              <w:spacing w:beforeLines="0" w:afterLines="0" w:line="240" w:lineRule="auto"/>
              <w:rPr>
                <w:rFonts w:ascii="Times New Roman"/>
                <w:snapToGrid w:val="0"/>
                <w:color w:val="auto"/>
                <w:kern w:val="21"/>
                <w:szCs w:val="21"/>
                <w:u w:val="single"/>
              </w:rPr>
            </w:pPr>
            <w:bookmarkStart w:id="286" w:name="OLE_LINK292"/>
            <w:r>
              <w:rPr>
                <w:rFonts w:hint="eastAsia"/>
                <w:color w:val="auto"/>
                <w:u w:val="single"/>
              </w:rPr>
              <w:t>0.847</w:t>
            </w:r>
            <w:r>
              <w:rPr>
                <w:rFonts w:ascii="Times New Roman"/>
                <w:snapToGrid w:val="0"/>
                <w:color w:val="auto"/>
                <w:kern w:val="21"/>
                <w:szCs w:val="21"/>
                <w:u w:val="single"/>
              </w:rPr>
              <w:t>t/a</w:t>
            </w:r>
            <w:bookmarkEnd w:id="286"/>
          </w:p>
        </w:tc>
        <w:tc>
          <w:tcPr>
            <w:tcW w:w="1600" w:type="dxa"/>
            <w:vAlign w:val="center"/>
          </w:tcPr>
          <w:p w14:paraId="1DBD9FFC">
            <w:pPr>
              <w:pStyle w:val="43"/>
              <w:spacing w:beforeLines="0" w:afterLines="0" w:line="240" w:lineRule="auto"/>
              <w:rPr>
                <w:rFonts w:ascii="Times New Roman"/>
                <w:snapToGrid w:val="0"/>
                <w:color w:val="auto"/>
                <w:kern w:val="21"/>
                <w:szCs w:val="21"/>
                <w:u w:val="single"/>
              </w:rPr>
            </w:pPr>
            <w:r>
              <w:rPr>
                <w:rFonts w:ascii="Times New Roman"/>
                <w:snapToGrid w:val="0"/>
                <w:color w:val="auto"/>
                <w:kern w:val="21"/>
                <w:szCs w:val="21"/>
                <w:u w:val="single"/>
              </w:rPr>
              <w:t>/</w:t>
            </w:r>
          </w:p>
        </w:tc>
        <w:tc>
          <w:tcPr>
            <w:tcW w:w="1600" w:type="dxa"/>
            <w:vAlign w:val="center"/>
          </w:tcPr>
          <w:p w14:paraId="0EAF4E08">
            <w:pPr>
              <w:pStyle w:val="43"/>
              <w:spacing w:beforeLines="0" w:afterLines="0" w:line="240" w:lineRule="auto"/>
              <w:rPr>
                <w:rFonts w:ascii="Times New Roman"/>
                <w:snapToGrid w:val="0"/>
                <w:color w:val="auto"/>
                <w:kern w:val="21"/>
                <w:szCs w:val="21"/>
                <w:u w:val="single"/>
              </w:rPr>
            </w:pPr>
            <w:r>
              <w:rPr>
                <w:rFonts w:hint="eastAsia"/>
                <w:color w:val="auto"/>
                <w:u w:val="single"/>
              </w:rPr>
              <w:t>0.847</w:t>
            </w:r>
            <w:r>
              <w:rPr>
                <w:rFonts w:ascii="Times New Roman"/>
                <w:snapToGrid w:val="0"/>
                <w:color w:val="auto"/>
                <w:kern w:val="21"/>
                <w:szCs w:val="21"/>
                <w:u w:val="single"/>
              </w:rPr>
              <w:t>t/a</w:t>
            </w:r>
          </w:p>
        </w:tc>
        <w:tc>
          <w:tcPr>
            <w:tcW w:w="1601" w:type="dxa"/>
            <w:vAlign w:val="center"/>
          </w:tcPr>
          <w:p w14:paraId="76514752">
            <w:pPr>
              <w:pStyle w:val="43"/>
              <w:spacing w:beforeLines="0" w:afterLines="0" w:line="240" w:lineRule="auto"/>
              <w:rPr>
                <w:rFonts w:ascii="Times New Roman"/>
                <w:snapToGrid w:val="0"/>
                <w:color w:val="auto"/>
                <w:kern w:val="21"/>
                <w:szCs w:val="21"/>
                <w:u w:val="single"/>
              </w:rPr>
            </w:pPr>
            <w:r>
              <w:rPr>
                <w:rFonts w:hint="eastAsia"/>
                <w:color w:val="auto"/>
                <w:u w:val="single"/>
              </w:rPr>
              <w:t>0.847</w:t>
            </w:r>
            <w:r>
              <w:rPr>
                <w:rFonts w:ascii="Times New Roman"/>
                <w:snapToGrid w:val="0"/>
                <w:color w:val="auto"/>
                <w:kern w:val="21"/>
                <w:szCs w:val="21"/>
                <w:u w:val="single"/>
              </w:rPr>
              <w:t>t/a</w:t>
            </w:r>
          </w:p>
        </w:tc>
      </w:tr>
      <w:tr w14:paraId="2C2A52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69" w:type="dxa"/>
            <w:vMerge w:val="restart"/>
            <w:vAlign w:val="center"/>
          </w:tcPr>
          <w:p w14:paraId="1077B3DC">
            <w:pPr>
              <w:pStyle w:val="43"/>
              <w:spacing w:beforeLines="0" w:afterLines="0" w:line="240" w:lineRule="auto"/>
              <w:rPr>
                <w:rFonts w:ascii="Times New Roman" w:cs="宋体"/>
                <w:snapToGrid w:val="0"/>
                <w:kern w:val="21"/>
                <w:szCs w:val="21"/>
              </w:rPr>
            </w:pPr>
            <w:r>
              <w:rPr>
                <w:rFonts w:hint="eastAsia" w:ascii="Times New Roman" w:cs="宋体"/>
                <w:snapToGrid w:val="0"/>
                <w:kern w:val="21"/>
                <w:szCs w:val="21"/>
              </w:rPr>
              <w:t>一般工业</w:t>
            </w:r>
          </w:p>
          <w:p w14:paraId="5B3BB71E">
            <w:pPr>
              <w:pStyle w:val="43"/>
              <w:spacing w:beforeLines="0" w:afterLines="0" w:line="240" w:lineRule="auto"/>
              <w:rPr>
                <w:rFonts w:ascii="Times New Roman" w:cs="宋体"/>
                <w:snapToGrid w:val="0"/>
                <w:kern w:val="21"/>
                <w:szCs w:val="21"/>
              </w:rPr>
            </w:pPr>
            <w:r>
              <w:rPr>
                <w:rFonts w:hint="eastAsia" w:ascii="Times New Roman" w:cs="宋体"/>
                <w:snapToGrid w:val="0"/>
                <w:kern w:val="21"/>
                <w:szCs w:val="21"/>
              </w:rPr>
              <w:t>固体废物</w:t>
            </w:r>
          </w:p>
        </w:tc>
        <w:tc>
          <w:tcPr>
            <w:tcW w:w="1417" w:type="dxa"/>
            <w:vAlign w:val="center"/>
          </w:tcPr>
          <w:p w14:paraId="1CECDC95">
            <w:pPr>
              <w:pStyle w:val="43"/>
              <w:spacing w:beforeLines="0" w:afterLines="0" w:line="240" w:lineRule="auto"/>
              <w:rPr>
                <w:rFonts w:ascii="Times New Roman" w:cs="宋体"/>
                <w:snapToGrid w:val="0"/>
                <w:kern w:val="21"/>
                <w:szCs w:val="21"/>
              </w:rPr>
            </w:pPr>
            <w:r>
              <w:rPr>
                <w:rFonts w:hint="eastAsia"/>
              </w:rPr>
              <w:t>S1除尘灰</w:t>
            </w:r>
          </w:p>
        </w:tc>
        <w:tc>
          <w:tcPr>
            <w:tcW w:w="1600" w:type="dxa"/>
            <w:vAlign w:val="center"/>
          </w:tcPr>
          <w:p w14:paraId="45D6FC12">
            <w:pPr>
              <w:pStyle w:val="43"/>
              <w:spacing w:beforeLines="0" w:afterLines="0" w:line="240" w:lineRule="auto"/>
              <w:rPr>
                <w:rFonts w:ascii="Times New Roman" w:cs="宋体"/>
                <w:snapToGrid w:val="0"/>
                <w:kern w:val="21"/>
                <w:szCs w:val="21"/>
              </w:rPr>
            </w:pPr>
            <w:r>
              <w:rPr>
                <w:rFonts w:hint="eastAsia" w:ascii="Times New Roman" w:cs="宋体"/>
                <w:snapToGrid w:val="0"/>
                <w:kern w:val="21"/>
                <w:szCs w:val="21"/>
              </w:rPr>
              <w:t>/</w:t>
            </w:r>
          </w:p>
        </w:tc>
        <w:tc>
          <w:tcPr>
            <w:tcW w:w="1600" w:type="dxa"/>
            <w:vAlign w:val="center"/>
          </w:tcPr>
          <w:p w14:paraId="6391245D">
            <w:pPr>
              <w:pStyle w:val="43"/>
              <w:spacing w:beforeLines="0" w:afterLines="0" w:line="240" w:lineRule="auto"/>
              <w:rPr>
                <w:rFonts w:ascii="Times New Roman" w:cs="宋体"/>
                <w:snapToGrid w:val="0"/>
                <w:kern w:val="21"/>
                <w:szCs w:val="21"/>
              </w:rPr>
            </w:pPr>
            <w:r>
              <w:rPr>
                <w:rFonts w:hint="eastAsia" w:ascii="Times New Roman" w:cs="宋体"/>
                <w:snapToGrid w:val="0"/>
                <w:kern w:val="21"/>
                <w:szCs w:val="21"/>
              </w:rPr>
              <w:t>/</w:t>
            </w:r>
          </w:p>
        </w:tc>
        <w:tc>
          <w:tcPr>
            <w:tcW w:w="1600" w:type="dxa"/>
            <w:vAlign w:val="center"/>
          </w:tcPr>
          <w:p w14:paraId="522CFE38">
            <w:pPr>
              <w:pStyle w:val="43"/>
              <w:spacing w:beforeLines="0" w:afterLines="0" w:line="240" w:lineRule="auto"/>
              <w:rPr>
                <w:rFonts w:ascii="Times New Roman" w:cs="宋体"/>
                <w:snapToGrid w:val="0"/>
                <w:kern w:val="21"/>
                <w:szCs w:val="21"/>
              </w:rPr>
            </w:pPr>
            <w:r>
              <w:rPr>
                <w:rFonts w:hint="eastAsia" w:ascii="Times New Roman" w:cs="宋体"/>
                <w:snapToGrid w:val="0"/>
                <w:kern w:val="21"/>
                <w:szCs w:val="21"/>
              </w:rPr>
              <w:t>/</w:t>
            </w:r>
          </w:p>
        </w:tc>
        <w:tc>
          <w:tcPr>
            <w:tcW w:w="1601" w:type="dxa"/>
            <w:vAlign w:val="center"/>
          </w:tcPr>
          <w:p w14:paraId="23217C8B">
            <w:pPr>
              <w:pStyle w:val="43"/>
              <w:spacing w:beforeLines="0" w:afterLines="0" w:line="240" w:lineRule="auto"/>
              <w:rPr>
                <w:rFonts w:ascii="Times New Roman"/>
                <w:snapToGrid w:val="0"/>
                <w:kern w:val="21"/>
                <w:szCs w:val="21"/>
              </w:rPr>
            </w:pPr>
            <w:r>
              <w:rPr>
                <w:rFonts w:hint="eastAsia"/>
              </w:rPr>
              <w:t>12.5t/a</w:t>
            </w:r>
          </w:p>
        </w:tc>
        <w:tc>
          <w:tcPr>
            <w:tcW w:w="1600" w:type="dxa"/>
            <w:vAlign w:val="center"/>
          </w:tcPr>
          <w:p w14:paraId="56B39DF0">
            <w:pPr>
              <w:pStyle w:val="43"/>
              <w:spacing w:beforeLines="0" w:afterLines="0" w:line="240" w:lineRule="auto"/>
              <w:rPr>
                <w:rFonts w:ascii="Times New Roman"/>
                <w:snapToGrid w:val="0"/>
                <w:kern w:val="21"/>
                <w:szCs w:val="21"/>
              </w:rPr>
            </w:pPr>
            <w:r>
              <w:rPr>
                <w:rFonts w:ascii="Times New Roman"/>
                <w:snapToGrid w:val="0"/>
                <w:kern w:val="21"/>
                <w:szCs w:val="21"/>
              </w:rPr>
              <w:t>/</w:t>
            </w:r>
          </w:p>
        </w:tc>
        <w:tc>
          <w:tcPr>
            <w:tcW w:w="1600" w:type="dxa"/>
            <w:vAlign w:val="center"/>
          </w:tcPr>
          <w:p w14:paraId="43BED7EE">
            <w:pPr>
              <w:pStyle w:val="43"/>
              <w:spacing w:beforeLines="0" w:afterLines="0" w:line="240" w:lineRule="auto"/>
              <w:rPr>
                <w:rFonts w:ascii="Times New Roman"/>
                <w:snapToGrid w:val="0"/>
                <w:kern w:val="21"/>
                <w:szCs w:val="21"/>
              </w:rPr>
            </w:pPr>
            <w:r>
              <w:rPr>
                <w:rFonts w:hint="eastAsia"/>
              </w:rPr>
              <w:t>12.5t/a</w:t>
            </w:r>
          </w:p>
        </w:tc>
        <w:tc>
          <w:tcPr>
            <w:tcW w:w="1601" w:type="dxa"/>
            <w:vAlign w:val="center"/>
          </w:tcPr>
          <w:p w14:paraId="0B6E93D7">
            <w:pPr>
              <w:pStyle w:val="43"/>
              <w:spacing w:beforeLines="0" w:afterLines="0" w:line="240" w:lineRule="auto"/>
              <w:rPr>
                <w:rFonts w:ascii="Times New Roman"/>
                <w:snapToGrid w:val="0"/>
                <w:kern w:val="21"/>
                <w:szCs w:val="21"/>
              </w:rPr>
            </w:pPr>
            <w:r>
              <w:rPr>
                <w:rFonts w:hint="eastAsia"/>
              </w:rPr>
              <w:t>12.5t/a</w:t>
            </w:r>
          </w:p>
        </w:tc>
      </w:tr>
      <w:tr w14:paraId="0141C1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69" w:type="dxa"/>
            <w:vMerge w:val="continue"/>
            <w:vAlign w:val="center"/>
          </w:tcPr>
          <w:p w14:paraId="7788F4BB">
            <w:pPr>
              <w:pStyle w:val="43"/>
              <w:spacing w:beforeLines="0" w:afterLines="0" w:line="240" w:lineRule="auto"/>
              <w:rPr>
                <w:rFonts w:ascii="Times New Roman" w:cs="宋体"/>
                <w:snapToGrid w:val="0"/>
                <w:kern w:val="21"/>
                <w:szCs w:val="21"/>
              </w:rPr>
            </w:pPr>
          </w:p>
        </w:tc>
        <w:tc>
          <w:tcPr>
            <w:tcW w:w="1417" w:type="dxa"/>
            <w:vAlign w:val="center"/>
          </w:tcPr>
          <w:p w14:paraId="5C21A052">
            <w:pPr>
              <w:pStyle w:val="43"/>
              <w:spacing w:beforeLines="0" w:afterLines="0" w:line="240" w:lineRule="auto"/>
              <w:rPr>
                <w:rFonts w:ascii="Times New Roman"/>
              </w:rPr>
            </w:pPr>
            <w:r>
              <w:rPr>
                <w:rFonts w:hint="eastAsia"/>
              </w:rPr>
              <w:t>S2炉渣</w:t>
            </w:r>
          </w:p>
        </w:tc>
        <w:tc>
          <w:tcPr>
            <w:tcW w:w="1600" w:type="dxa"/>
            <w:vAlign w:val="center"/>
          </w:tcPr>
          <w:p w14:paraId="11105A69">
            <w:pPr>
              <w:pStyle w:val="43"/>
              <w:spacing w:beforeLines="0" w:afterLines="0" w:line="240" w:lineRule="auto"/>
              <w:rPr>
                <w:rFonts w:ascii="Times New Roman" w:cs="宋体"/>
                <w:snapToGrid w:val="0"/>
                <w:kern w:val="21"/>
                <w:szCs w:val="21"/>
              </w:rPr>
            </w:pPr>
            <w:r>
              <w:rPr>
                <w:rFonts w:hint="eastAsia" w:ascii="Times New Roman" w:cs="宋体"/>
                <w:snapToGrid w:val="0"/>
                <w:kern w:val="21"/>
                <w:szCs w:val="21"/>
              </w:rPr>
              <w:t>/</w:t>
            </w:r>
          </w:p>
        </w:tc>
        <w:tc>
          <w:tcPr>
            <w:tcW w:w="1600" w:type="dxa"/>
            <w:vAlign w:val="center"/>
          </w:tcPr>
          <w:p w14:paraId="3B6921D8">
            <w:pPr>
              <w:pStyle w:val="43"/>
              <w:spacing w:beforeLines="0" w:afterLines="0" w:line="240" w:lineRule="auto"/>
              <w:rPr>
                <w:rFonts w:ascii="Times New Roman" w:cs="宋体"/>
                <w:snapToGrid w:val="0"/>
                <w:kern w:val="21"/>
                <w:szCs w:val="21"/>
              </w:rPr>
            </w:pPr>
            <w:r>
              <w:rPr>
                <w:rFonts w:hint="eastAsia" w:ascii="Times New Roman" w:cs="宋体"/>
                <w:snapToGrid w:val="0"/>
                <w:kern w:val="21"/>
                <w:szCs w:val="21"/>
              </w:rPr>
              <w:t>/</w:t>
            </w:r>
          </w:p>
        </w:tc>
        <w:tc>
          <w:tcPr>
            <w:tcW w:w="1600" w:type="dxa"/>
            <w:vAlign w:val="center"/>
          </w:tcPr>
          <w:p w14:paraId="4B44420C">
            <w:pPr>
              <w:pStyle w:val="43"/>
              <w:spacing w:beforeLines="0" w:afterLines="0" w:line="240" w:lineRule="auto"/>
              <w:rPr>
                <w:rFonts w:ascii="Times New Roman" w:cs="宋体"/>
                <w:snapToGrid w:val="0"/>
                <w:kern w:val="21"/>
                <w:szCs w:val="21"/>
              </w:rPr>
            </w:pPr>
            <w:r>
              <w:rPr>
                <w:rFonts w:hint="eastAsia" w:ascii="Times New Roman" w:cs="宋体"/>
                <w:snapToGrid w:val="0"/>
                <w:kern w:val="21"/>
                <w:szCs w:val="21"/>
              </w:rPr>
              <w:t>/</w:t>
            </w:r>
          </w:p>
        </w:tc>
        <w:tc>
          <w:tcPr>
            <w:tcW w:w="1601" w:type="dxa"/>
            <w:vAlign w:val="center"/>
          </w:tcPr>
          <w:p w14:paraId="14A69363">
            <w:pPr>
              <w:pStyle w:val="43"/>
              <w:spacing w:beforeLines="0" w:afterLines="0" w:line="240" w:lineRule="auto"/>
              <w:rPr>
                <w:rFonts w:ascii="Times New Roman"/>
                <w:color w:val="auto"/>
                <w:szCs w:val="21"/>
                <w:u w:val="single"/>
              </w:rPr>
            </w:pPr>
            <w:r>
              <w:rPr>
                <w:rFonts w:hint="eastAsia"/>
                <w:color w:val="auto"/>
                <w:u w:val="single"/>
              </w:rPr>
              <w:t>1136.13t/a</w:t>
            </w:r>
          </w:p>
        </w:tc>
        <w:tc>
          <w:tcPr>
            <w:tcW w:w="1600" w:type="dxa"/>
            <w:vAlign w:val="center"/>
          </w:tcPr>
          <w:p w14:paraId="55710C50">
            <w:pPr>
              <w:pStyle w:val="43"/>
              <w:spacing w:beforeLines="0" w:afterLines="0" w:line="240" w:lineRule="auto"/>
              <w:rPr>
                <w:rFonts w:ascii="Times New Roman"/>
                <w:snapToGrid w:val="0"/>
                <w:color w:val="auto"/>
                <w:kern w:val="21"/>
                <w:szCs w:val="21"/>
                <w:u w:val="single"/>
              </w:rPr>
            </w:pPr>
            <w:r>
              <w:rPr>
                <w:rFonts w:ascii="Times New Roman"/>
                <w:snapToGrid w:val="0"/>
                <w:color w:val="auto"/>
                <w:kern w:val="21"/>
                <w:szCs w:val="21"/>
                <w:u w:val="single"/>
              </w:rPr>
              <w:t>/</w:t>
            </w:r>
          </w:p>
        </w:tc>
        <w:tc>
          <w:tcPr>
            <w:tcW w:w="1600" w:type="dxa"/>
            <w:vAlign w:val="center"/>
          </w:tcPr>
          <w:p w14:paraId="6CF2409C">
            <w:pPr>
              <w:pStyle w:val="43"/>
              <w:spacing w:beforeLines="0" w:afterLines="0" w:line="240" w:lineRule="auto"/>
              <w:rPr>
                <w:rFonts w:ascii="Times New Roman"/>
                <w:color w:val="auto"/>
                <w:szCs w:val="21"/>
                <w:u w:val="single"/>
              </w:rPr>
            </w:pPr>
            <w:r>
              <w:rPr>
                <w:rFonts w:hint="eastAsia"/>
                <w:color w:val="auto"/>
                <w:u w:val="single"/>
              </w:rPr>
              <w:t>1136.13t/a</w:t>
            </w:r>
          </w:p>
        </w:tc>
        <w:tc>
          <w:tcPr>
            <w:tcW w:w="1601" w:type="dxa"/>
            <w:vAlign w:val="center"/>
          </w:tcPr>
          <w:p w14:paraId="24A5A1ED">
            <w:pPr>
              <w:pStyle w:val="43"/>
              <w:spacing w:beforeLines="0" w:afterLines="0" w:line="240" w:lineRule="auto"/>
              <w:rPr>
                <w:rFonts w:ascii="Times New Roman"/>
                <w:snapToGrid w:val="0"/>
                <w:color w:val="auto"/>
                <w:kern w:val="21"/>
                <w:szCs w:val="21"/>
                <w:u w:val="single"/>
              </w:rPr>
            </w:pPr>
            <w:r>
              <w:rPr>
                <w:rFonts w:hint="eastAsia"/>
                <w:color w:val="auto"/>
                <w:u w:val="single"/>
              </w:rPr>
              <w:t>1136.13t/a</w:t>
            </w:r>
          </w:p>
        </w:tc>
      </w:tr>
      <w:tr w14:paraId="05A5D1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69" w:type="dxa"/>
            <w:vMerge w:val="continue"/>
            <w:vAlign w:val="center"/>
          </w:tcPr>
          <w:p w14:paraId="3A2AC97E">
            <w:pPr>
              <w:pStyle w:val="43"/>
              <w:spacing w:beforeLines="0" w:afterLines="0" w:line="240" w:lineRule="auto"/>
              <w:rPr>
                <w:rFonts w:ascii="Times New Roman" w:cs="宋体"/>
                <w:snapToGrid w:val="0"/>
                <w:kern w:val="21"/>
                <w:szCs w:val="21"/>
              </w:rPr>
            </w:pPr>
          </w:p>
        </w:tc>
        <w:tc>
          <w:tcPr>
            <w:tcW w:w="1417" w:type="dxa"/>
            <w:vAlign w:val="center"/>
          </w:tcPr>
          <w:p w14:paraId="1680BA8C">
            <w:pPr>
              <w:pStyle w:val="43"/>
              <w:spacing w:beforeLines="0" w:afterLines="0" w:line="240" w:lineRule="auto"/>
              <w:rPr>
                <w:rFonts w:ascii="Times New Roman"/>
              </w:rPr>
            </w:pPr>
            <w:r>
              <w:rPr>
                <w:rFonts w:hint="eastAsia"/>
              </w:rPr>
              <w:t>S3废离子交换树脂</w:t>
            </w:r>
          </w:p>
        </w:tc>
        <w:tc>
          <w:tcPr>
            <w:tcW w:w="1600" w:type="dxa"/>
            <w:vAlign w:val="center"/>
          </w:tcPr>
          <w:p w14:paraId="6381432E">
            <w:pPr>
              <w:pStyle w:val="43"/>
              <w:spacing w:beforeLines="0" w:afterLines="0" w:line="240" w:lineRule="auto"/>
              <w:rPr>
                <w:rFonts w:ascii="Times New Roman" w:cs="宋体"/>
                <w:snapToGrid w:val="0"/>
                <w:kern w:val="21"/>
                <w:szCs w:val="21"/>
              </w:rPr>
            </w:pPr>
            <w:r>
              <w:rPr>
                <w:rFonts w:hint="eastAsia" w:ascii="Times New Roman" w:cs="宋体"/>
                <w:snapToGrid w:val="0"/>
                <w:kern w:val="21"/>
                <w:szCs w:val="21"/>
              </w:rPr>
              <w:t>/</w:t>
            </w:r>
          </w:p>
        </w:tc>
        <w:tc>
          <w:tcPr>
            <w:tcW w:w="1600" w:type="dxa"/>
            <w:vAlign w:val="center"/>
          </w:tcPr>
          <w:p w14:paraId="70FB2FFF">
            <w:pPr>
              <w:pStyle w:val="43"/>
              <w:spacing w:beforeLines="0" w:afterLines="0" w:line="240" w:lineRule="auto"/>
              <w:rPr>
                <w:rFonts w:ascii="Times New Roman" w:cs="宋体"/>
                <w:snapToGrid w:val="0"/>
                <w:kern w:val="21"/>
                <w:szCs w:val="21"/>
              </w:rPr>
            </w:pPr>
            <w:r>
              <w:rPr>
                <w:rFonts w:hint="eastAsia" w:ascii="Times New Roman" w:cs="宋体"/>
                <w:snapToGrid w:val="0"/>
                <w:kern w:val="21"/>
                <w:szCs w:val="21"/>
              </w:rPr>
              <w:t>/</w:t>
            </w:r>
          </w:p>
        </w:tc>
        <w:tc>
          <w:tcPr>
            <w:tcW w:w="1600" w:type="dxa"/>
            <w:vAlign w:val="center"/>
          </w:tcPr>
          <w:p w14:paraId="6F6D463D">
            <w:pPr>
              <w:pStyle w:val="43"/>
              <w:spacing w:beforeLines="0" w:afterLines="0" w:line="240" w:lineRule="auto"/>
              <w:rPr>
                <w:rFonts w:ascii="Times New Roman" w:cs="宋体"/>
                <w:snapToGrid w:val="0"/>
                <w:kern w:val="21"/>
                <w:szCs w:val="21"/>
              </w:rPr>
            </w:pPr>
            <w:r>
              <w:rPr>
                <w:rFonts w:hint="eastAsia" w:ascii="Times New Roman" w:cs="宋体"/>
                <w:snapToGrid w:val="0"/>
                <w:kern w:val="21"/>
                <w:szCs w:val="21"/>
              </w:rPr>
              <w:t>/</w:t>
            </w:r>
          </w:p>
        </w:tc>
        <w:tc>
          <w:tcPr>
            <w:tcW w:w="1601" w:type="dxa"/>
            <w:vAlign w:val="center"/>
          </w:tcPr>
          <w:p w14:paraId="4E2C950F">
            <w:pPr>
              <w:pStyle w:val="43"/>
              <w:spacing w:beforeLines="0" w:afterLines="0" w:line="240" w:lineRule="auto"/>
              <w:rPr>
                <w:rFonts w:ascii="Times New Roman"/>
                <w:szCs w:val="21"/>
              </w:rPr>
            </w:pPr>
            <w:r>
              <w:rPr>
                <w:rFonts w:hint="eastAsia"/>
              </w:rPr>
              <w:t>0.5t/a</w:t>
            </w:r>
          </w:p>
        </w:tc>
        <w:tc>
          <w:tcPr>
            <w:tcW w:w="1600" w:type="dxa"/>
            <w:vAlign w:val="center"/>
          </w:tcPr>
          <w:p w14:paraId="1F5F46E1">
            <w:pPr>
              <w:pStyle w:val="43"/>
              <w:spacing w:beforeLines="0" w:afterLines="0" w:line="240" w:lineRule="auto"/>
              <w:rPr>
                <w:rFonts w:ascii="Times New Roman"/>
                <w:snapToGrid w:val="0"/>
                <w:kern w:val="21"/>
                <w:szCs w:val="21"/>
              </w:rPr>
            </w:pPr>
            <w:r>
              <w:rPr>
                <w:rFonts w:ascii="Times New Roman"/>
                <w:snapToGrid w:val="0"/>
                <w:kern w:val="21"/>
                <w:szCs w:val="21"/>
              </w:rPr>
              <w:t>/</w:t>
            </w:r>
          </w:p>
        </w:tc>
        <w:tc>
          <w:tcPr>
            <w:tcW w:w="1600" w:type="dxa"/>
            <w:vAlign w:val="center"/>
          </w:tcPr>
          <w:p w14:paraId="252EE4D4">
            <w:pPr>
              <w:pStyle w:val="43"/>
              <w:spacing w:beforeLines="0" w:afterLines="0" w:line="240" w:lineRule="auto"/>
              <w:rPr>
                <w:rFonts w:ascii="Times New Roman"/>
                <w:szCs w:val="21"/>
              </w:rPr>
            </w:pPr>
            <w:r>
              <w:rPr>
                <w:rFonts w:hint="eastAsia"/>
              </w:rPr>
              <w:t>0.5t/a</w:t>
            </w:r>
          </w:p>
        </w:tc>
        <w:tc>
          <w:tcPr>
            <w:tcW w:w="1601" w:type="dxa"/>
            <w:vAlign w:val="center"/>
          </w:tcPr>
          <w:p w14:paraId="130D709C">
            <w:pPr>
              <w:pStyle w:val="43"/>
              <w:spacing w:beforeLines="0" w:afterLines="0" w:line="240" w:lineRule="auto"/>
              <w:rPr>
                <w:rFonts w:ascii="Times New Roman"/>
                <w:szCs w:val="21"/>
              </w:rPr>
            </w:pPr>
            <w:r>
              <w:rPr>
                <w:rFonts w:hint="eastAsia"/>
              </w:rPr>
              <w:t>0.5t/a</w:t>
            </w:r>
          </w:p>
        </w:tc>
      </w:tr>
      <w:tr w14:paraId="2513F6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69" w:type="dxa"/>
            <w:vMerge w:val="continue"/>
            <w:vAlign w:val="center"/>
          </w:tcPr>
          <w:p w14:paraId="4554011A">
            <w:pPr>
              <w:pStyle w:val="43"/>
              <w:spacing w:beforeLines="0" w:afterLines="0" w:line="240" w:lineRule="auto"/>
              <w:rPr>
                <w:rFonts w:ascii="Times New Roman" w:cs="宋体"/>
                <w:snapToGrid w:val="0"/>
                <w:kern w:val="21"/>
                <w:szCs w:val="21"/>
              </w:rPr>
            </w:pPr>
          </w:p>
        </w:tc>
        <w:tc>
          <w:tcPr>
            <w:tcW w:w="1417" w:type="dxa"/>
            <w:vAlign w:val="center"/>
          </w:tcPr>
          <w:p w14:paraId="42BB2BCB">
            <w:pPr>
              <w:pStyle w:val="43"/>
              <w:spacing w:beforeLines="0" w:afterLines="0" w:line="240" w:lineRule="auto"/>
              <w:rPr>
                <w:rFonts w:ascii="Times New Roman"/>
              </w:rPr>
            </w:pPr>
            <w:r>
              <w:rPr>
                <w:rFonts w:hint="eastAsia"/>
              </w:rPr>
              <w:t>S4废布袋</w:t>
            </w:r>
          </w:p>
        </w:tc>
        <w:tc>
          <w:tcPr>
            <w:tcW w:w="1600" w:type="dxa"/>
            <w:vAlign w:val="center"/>
          </w:tcPr>
          <w:p w14:paraId="218BF36C">
            <w:pPr>
              <w:pStyle w:val="43"/>
              <w:spacing w:beforeLines="0" w:afterLines="0" w:line="240" w:lineRule="auto"/>
              <w:rPr>
                <w:rFonts w:ascii="Times New Roman" w:cs="宋体"/>
                <w:snapToGrid w:val="0"/>
                <w:kern w:val="21"/>
                <w:szCs w:val="21"/>
              </w:rPr>
            </w:pPr>
            <w:r>
              <w:rPr>
                <w:rFonts w:hint="eastAsia" w:ascii="Times New Roman" w:cs="宋体"/>
                <w:snapToGrid w:val="0"/>
                <w:kern w:val="21"/>
                <w:szCs w:val="21"/>
              </w:rPr>
              <w:t>/</w:t>
            </w:r>
          </w:p>
        </w:tc>
        <w:tc>
          <w:tcPr>
            <w:tcW w:w="1600" w:type="dxa"/>
            <w:vAlign w:val="center"/>
          </w:tcPr>
          <w:p w14:paraId="11064690">
            <w:pPr>
              <w:pStyle w:val="43"/>
              <w:spacing w:beforeLines="0" w:afterLines="0" w:line="240" w:lineRule="auto"/>
              <w:rPr>
                <w:rFonts w:ascii="Times New Roman" w:cs="宋体"/>
                <w:snapToGrid w:val="0"/>
                <w:kern w:val="21"/>
                <w:szCs w:val="21"/>
              </w:rPr>
            </w:pPr>
            <w:r>
              <w:rPr>
                <w:rFonts w:hint="eastAsia" w:ascii="Times New Roman" w:cs="宋体"/>
                <w:snapToGrid w:val="0"/>
                <w:kern w:val="21"/>
                <w:szCs w:val="21"/>
              </w:rPr>
              <w:t>/</w:t>
            </w:r>
          </w:p>
        </w:tc>
        <w:tc>
          <w:tcPr>
            <w:tcW w:w="1600" w:type="dxa"/>
            <w:vAlign w:val="center"/>
          </w:tcPr>
          <w:p w14:paraId="38CDAB00">
            <w:pPr>
              <w:pStyle w:val="43"/>
              <w:spacing w:beforeLines="0" w:afterLines="0" w:line="240" w:lineRule="auto"/>
              <w:rPr>
                <w:rFonts w:ascii="Times New Roman" w:cs="宋体"/>
                <w:snapToGrid w:val="0"/>
                <w:kern w:val="21"/>
                <w:szCs w:val="21"/>
              </w:rPr>
            </w:pPr>
            <w:r>
              <w:rPr>
                <w:rFonts w:hint="eastAsia" w:ascii="Times New Roman" w:cs="宋体"/>
                <w:snapToGrid w:val="0"/>
                <w:kern w:val="21"/>
                <w:szCs w:val="21"/>
              </w:rPr>
              <w:t>/</w:t>
            </w:r>
          </w:p>
        </w:tc>
        <w:tc>
          <w:tcPr>
            <w:tcW w:w="1601" w:type="dxa"/>
            <w:vAlign w:val="center"/>
          </w:tcPr>
          <w:p w14:paraId="4525EAAD">
            <w:pPr>
              <w:pStyle w:val="43"/>
              <w:spacing w:beforeLines="0" w:afterLines="0" w:line="240" w:lineRule="auto"/>
              <w:rPr>
                <w:rFonts w:ascii="Times New Roman"/>
                <w:szCs w:val="21"/>
              </w:rPr>
            </w:pPr>
            <w:r>
              <w:rPr>
                <w:rFonts w:hint="eastAsia"/>
              </w:rPr>
              <w:t>0.1t/a</w:t>
            </w:r>
          </w:p>
        </w:tc>
        <w:tc>
          <w:tcPr>
            <w:tcW w:w="1600" w:type="dxa"/>
            <w:vAlign w:val="center"/>
          </w:tcPr>
          <w:p w14:paraId="5AA8DA38">
            <w:pPr>
              <w:pStyle w:val="43"/>
              <w:spacing w:beforeLines="0" w:afterLines="0" w:line="240" w:lineRule="auto"/>
              <w:rPr>
                <w:rFonts w:ascii="Times New Roman"/>
                <w:snapToGrid w:val="0"/>
                <w:kern w:val="21"/>
                <w:szCs w:val="21"/>
              </w:rPr>
            </w:pPr>
            <w:r>
              <w:rPr>
                <w:rFonts w:ascii="Times New Roman"/>
                <w:snapToGrid w:val="0"/>
                <w:kern w:val="21"/>
                <w:szCs w:val="21"/>
              </w:rPr>
              <w:t>/</w:t>
            </w:r>
          </w:p>
        </w:tc>
        <w:tc>
          <w:tcPr>
            <w:tcW w:w="1600" w:type="dxa"/>
            <w:vAlign w:val="center"/>
          </w:tcPr>
          <w:p w14:paraId="1AC87B5A">
            <w:pPr>
              <w:pStyle w:val="43"/>
              <w:spacing w:beforeLines="0" w:afterLines="0" w:line="240" w:lineRule="auto"/>
              <w:rPr>
                <w:rFonts w:ascii="Times New Roman"/>
                <w:szCs w:val="21"/>
              </w:rPr>
            </w:pPr>
            <w:r>
              <w:rPr>
                <w:rFonts w:hint="eastAsia"/>
              </w:rPr>
              <w:t>0.1t/a</w:t>
            </w:r>
          </w:p>
        </w:tc>
        <w:tc>
          <w:tcPr>
            <w:tcW w:w="1601" w:type="dxa"/>
            <w:vAlign w:val="center"/>
          </w:tcPr>
          <w:p w14:paraId="1830D97B">
            <w:pPr>
              <w:pStyle w:val="43"/>
              <w:spacing w:beforeLines="0" w:afterLines="0" w:line="240" w:lineRule="auto"/>
              <w:rPr>
                <w:rFonts w:ascii="Times New Roman"/>
                <w:szCs w:val="21"/>
              </w:rPr>
            </w:pPr>
            <w:r>
              <w:rPr>
                <w:rFonts w:hint="eastAsia"/>
              </w:rPr>
              <w:t>0.1t/a</w:t>
            </w:r>
          </w:p>
        </w:tc>
      </w:tr>
      <w:tr w14:paraId="482849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69" w:type="dxa"/>
            <w:vMerge w:val="restart"/>
            <w:vAlign w:val="center"/>
          </w:tcPr>
          <w:p w14:paraId="343F7FC9">
            <w:pPr>
              <w:pStyle w:val="43"/>
              <w:spacing w:beforeLines="0" w:afterLines="0" w:line="240" w:lineRule="auto"/>
              <w:rPr>
                <w:rFonts w:ascii="Times New Roman" w:cs="宋体"/>
                <w:snapToGrid w:val="0"/>
                <w:kern w:val="21"/>
                <w:szCs w:val="21"/>
              </w:rPr>
            </w:pPr>
            <w:r>
              <w:rPr>
                <w:rFonts w:hint="eastAsia" w:ascii="Times New Roman" w:cs="宋体"/>
                <w:snapToGrid w:val="0"/>
                <w:kern w:val="21"/>
                <w:szCs w:val="21"/>
              </w:rPr>
              <w:t>危险废物</w:t>
            </w:r>
          </w:p>
        </w:tc>
        <w:tc>
          <w:tcPr>
            <w:tcW w:w="1417" w:type="dxa"/>
            <w:vAlign w:val="center"/>
          </w:tcPr>
          <w:p w14:paraId="03161C89">
            <w:pPr>
              <w:pStyle w:val="43"/>
              <w:spacing w:beforeLines="0" w:afterLines="0" w:line="240" w:lineRule="auto"/>
            </w:pPr>
            <w:r>
              <w:rPr>
                <w:rFonts w:hint="eastAsia"/>
              </w:rPr>
              <w:t>S5废润滑油及废油桶</w:t>
            </w:r>
          </w:p>
        </w:tc>
        <w:tc>
          <w:tcPr>
            <w:tcW w:w="1600" w:type="dxa"/>
            <w:vAlign w:val="center"/>
          </w:tcPr>
          <w:p w14:paraId="0251776F">
            <w:pPr>
              <w:pStyle w:val="43"/>
              <w:spacing w:beforeLines="0" w:afterLines="0" w:line="240" w:lineRule="auto"/>
              <w:rPr>
                <w:rFonts w:ascii="Times New Roman" w:cs="宋体"/>
                <w:snapToGrid w:val="0"/>
                <w:kern w:val="21"/>
                <w:szCs w:val="21"/>
              </w:rPr>
            </w:pPr>
            <w:r>
              <w:rPr>
                <w:rFonts w:hint="eastAsia" w:ascii="Times New Roman" w:cs="宋体"/>
                <w:snapToGrid w:val="0"/>
                <w:kern w:val="21"/>
                <w:szCs w:val="21"/>
              </w:rPr>
              <w:t>/</w:t>
            </w:r>
          </w:p>
        </w:tc>
        <w:tc>
          <w:tcPr>
            <w:tcW w:w="1600" w:type="dxa"/>
            <w:vAlign w:val="center"/>
          </w:tcPr>
          <w:p w14:paraId="0A5F91A1">
            <w:pPr>
              <w:pStyle w:val="43"/>
              <w:spacing w:beforeLines="0" w:afterLines="0" w:line="240" w:lineRule="auto"/>
              <w:rPr>
                <w:rFonts w:ascii="Times New Roman" w:cs="宋体"/>
                <w:snapToGrid w:val="0"/>
                <w:kern w:val="21"/>
                <w:szCs w:val="21"/>
              </w:rPr>
            </w:pPr>
            <w:r>
              <w:rPr>
                <w:rFonts w:hint="eastAsia" w:ascii="Times New Roman" w:cs="宋体"/>
                <w:snapToGrid w:val="0"/>
                <w:kern w:val="21"/>
                <w:szCs w:val="21"/>
              </w:rPr>
              <w:t>/</w:t>
            </w:r>
          </w:p>
        </w:tc>
        <w:tc>
          <w:tcPr>
            <w:tcW w:w="1600" w:type="dxa"/>
            <w:vAlign w:val="center"/>
          </w:tcPr>
          <w:p w14:paraId="0F628FB9">
            <w:pPr>
              <w:pStyle w:val="43"/>
              <w:spacing w:beforeLines="0" w:afterLines="0" w:line="240" w:lineRule="auto"/>
              <w:rPr>
                <w:rFonts w:ascii="Times New Roman" w:cs="宋体"/>
                <w:snapToGrid w:val="0"/>
                <w:kern w:val="21"/>
                <w:szCs w:val="21"/>
              </w:rPr>
            </w:pPr>
            <w:r>
              <w:rPr>
                <w:rFonts w:hint="eastAsia" w:ascii="Times New Roman" w:cs="宋体"/>
                <w:snapToGrid w:val="0"/>
                <w:kern w:val="21"/>
                <w:szCs w:val="21"/>
              </w:rPr>
              <w:t>/</w:t>
            </w:r>
          </w:p>
        </w:tc>
        <w:tc>
          <w:tcPr>
            <w:tcW w:w="1601" w:type="dxa"/>
            <w:vAlign w:val="center"/>
          </w:tcPr>
          <w:p w14:paraId="53306DF0">
            <w:pPr>
              <w:pStyle w:val="43"/>
              <w:spacing w:beforeLines="0" w:afterLines="0" w:line="240" w:lineRule="auto"/>
            </w:pPr>
            <w:bookmarkStart w:id="287" w:name="OLE_LINK135"/>
            <w:r>
              <w:rPr>
                <w:rFonts w:hint="eastAsia"/>
              </w:rPr>
              <w:t>0.05t/a</w:t>
            </w:r>
            <w:bookmarkEnd w:id="287"/>
          </w:p>
        </w:tc>
        <w:tc>
          <w:tcPr>
            <w:tcW w:w="1600" w:type="dxa"/>
            <w:vAlign w:val="center"/>
          </w:tcPr>
          <w:p w14:paraId="03F66DA5">
            <w:pPr>
              <w:pStyle w:val="43"/>
              <w:spacing w:beforeLines="0" w:afterLines="0" w:line="240" w:lineRule="auto"/>
              <w:rPr>
                <w:rFonts w:ascii="Times New Roman"/>
                <w:snapToGrid w:val="0"/>
                <w:kern w:val="21"/>
                <w:szCs w:val="21"/>
              </w:rPr>
            </w:pPr>
            <w:bookmarkStart w:id="288" w:name="OLE_LINK101"/>
            <w:r>
              <w:rPr>
                <w:rFonts w:ascii="Times New Roman"/>
                <w:snapToGrid w:val="0"/>
                <w:kern w:val="21"/>
                <w:szCs w:val="21"/>
              </w:rPr>
              <w:t>/</w:t>
            </w:r>
            <w:bookmarkEnd w:id="288"/>
          </w:p>
        </w:tc>
        <w:tc>
          <w:tcPr>
            <w:tcW w:w="1600" w:type="dxa"/>
            <w:vAlign w:val="center"/>
          </w:tcPr>
          <w:p w14:paraId="1FD911F5">
            <w:pPr>
              <w:pStyle w:val="43"/>
              <w:spacing w:beforeLines="0" w:afterLines="0" w:line="240" w:lineRule="auto"/>
            </w:pPr>
            <w:r>
              <w:rPr>
                <w:rFonts w:hint="eastAsia"/>
              </w:rPr>
              <w:t>0.05t/a</w:t>
            </w:r>
          </w:p>
        </w:tc>
        <w:tc>
          <w:tcPr>
            <w:tcW w:w="1601" w:type="dxa"/>
            <w:vAlign w:val="center"/>
          </w:tcPr>
          <w:p w14:paraId="6592B4A0">
            <w:pPr>
              <w:pStyle w:val="43"/>
              <w:spacing w:beforeLines="0" w:afterLines="0" w:line="240" w:lineRule="auto"/>
            </w:pPr>
            <w:r>
              <w:t>0.05t/a</w:t>
            </w:r>
          </w:p>
        </w:tc>
      </w:tr>
      <w:tr w14:paraId="1086A4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69" w:type="dxa"/>
            <w:vMerge w:val="continue"/>
            <w:vAlign w:val="center"/>
          </w:tcPr>
          <w:p w14:paraId="5D80C860">
            <w:pPr>
              <w:pStyle w:val="43"/>
              <w:spacing w:beforeLines="0" w:afterLines="0" w:line="240" w:lineRule="auto"/>
              <w:rPr>
                <w:rFonts w:ascii="Times New Roman" w:cs="宋体"/>
                <w:snapToGrid w:val="0"/>
                <w:kern w:val="21"/>
                <w:szCs w:val="21"/>
              </w:rPr>
            </w:pPr>
          </w:p>
        </w:tc>
        <w:tc>
          <w:tcPr>
            <w:tcW w:w="1417" w:type="dxa"/>
            <w:vAlign w:val="center"/>
          </w:tcPr>
          <w:p w14:paraId="3093FA85">
            <w:pPr>
              <w:pStyle w:val="43"/>
              <w:spacing w:beforeLines="0" w:afterLines="0" w:line="240" w:lineRule="auto"/>
              <w:rPr>
                <w:color w:val="auto"/>
              </w:rPr>
            </w:pPr>
            <w:r>
              <w:rPr>
                <w:color w:val="auto"/>
              </w:rPr>
              <w:t>S6</w:t>
            </w:r>
            <w:r>
              <w:rPr>
                <w:rFonts w:hint="eastAsia" w:hAnsi="宋体" w:cs="宋体"/>
                <w:color w:val="auto"/>
              </w:rPr>
              <w:t>废含油抹布</w:t>
            </w:r>
          </w:p>
        </w:tc>
        <w:tc>
          <w:tcPr>
            <w:tcW w:w="1600" w:type="dxa"/>
            <w:vAlign w:val="center"/>
          </w:tcPr>
          <w:p w14:paraId="37FE8C85">
            <w:pPr>
              <w:pStyle w:val="43"/>
              <w:spacing w:beforeLines="0" w:afterLines="0" w:line="240" w:lineRule="auto"/>
              <w:rPr>
                <w:rFonts w:ascii="Times New Roman" w:cs="宋体"/>
                <w:snapToGrid w:val="0"/>
                <w:color w:val="auto"/>
                <w:kern w:val="21"/>
                <w:szCs w:val="21"/>
              </w:rPr>
            </w:pPr>
            <w:r>
              <w:rPr>
                <w:rFonts w:hint="eastAsia" w:ascii="Times New Roman" w:cs="宋体"/>
                <w:snapToGrid w:val="0"/>
                <w:color w:val="auto"/>
                <w:kern w:val="21"/>
                <w:szCs w:val="21"/>
              </w:rPr>
              <w:t>/</w:t>
            </w:r>
          </w:p>
        </w:tc>
        <w:tc>
          <w:tcPr>
            <w:tcW w:w="1600" w:type="dxa"/>
            <w:vAlign w:val="center"/>
          </w:tcPr>
          <w:p w14:paraId="3B6199BE">
            <w:pPr>
              <w:pStyle w:val="43"/>
              <w:spacing w:beforeLines="0" w:afterLines="0" w:line="240" w:lineRule="auto"/>
              <w:rPr>
                <w:rFonts w:ascii="Times New Roman" w:cs="宋体"/>
                <w:snapToGrid w:val="0"/>
                <w:color w:val="auto"/>
                <w:kern w:val="21"/>
                <w:szCs w:val="21"/>
              </w:rPr>
            </w:pPr>
            <w:r>
              <w:rPr>
                <w:rFonts w:hint="eastAsia" w:ascii="Times New Roman" w:cs="宋体"/>
                <w:snapToGrid w:val="0"/>
                <w:color w:val="auto"/>
                <w:kern w:val="21"/>
                <w:szCs w:val="21"/>
              </w:rPr>
              <w:t>/</w:t>
            </w:r>
          </w:p>
        </w:tc>
        <w:tc>
          <w:tcPr>
            <w:tcW w:w="1600" w:type="dxa"/>
            <w:vAlign w:val="center"/>
          </w:tcPr>
          <w:p w14:paraId="2A53D62E">
            <w:pPr>
              <w:pStyle w:val="43"/>
              <w:spacing w:beforeLines="0" w:afterLines="0" w:line="240" w:lineRule="auto"/>
              <w:rPr>
                <w:rFonts w:ascii="Times New Roman" w:cs="宋体"/>
                <w:snapToGrid w:val="0"/>
                <w:color w:val="auto"/>
                <w:kern w:val="21"/>
                <w:szCs w:val="21"/>
              </w:rPr>
            </w:pPr>
            <w:r>
              <w:rPr>
                <w:rFonts w:hint="eastAsia" w:ascii="Times New Roman" w:cs="宋体"/>
                <w:snapToGrid w:val="0"/>
                <w:color w:val="auto"/>
                <w:kern w:val="21"/>
                <w:szCs w:val="21"/>
              </w:rPr>
              <w:t>/</w:t>
            </w:r>
          </w:p>
        </w:tc>
        <w:tc>
          <w:tcPr>
            <w:tcW w:w="1601" w:type="dxa"/>
            <w:vAlign w:val="center"/>
          </w:tcPr>
          <w:p w14:paraId="6D4C797A">
            <w:pPr>
              <w:pStyle w:val="43"/>
              <w:spacing w:beforeLines="0" w:afterLines="0" w:line="240" w:lineRule="auto"/>
              <w:rPr>
                <w:color w:val="auto"/>
              </w:rPr>
            </w:pPr>
            <w:r>
              <w:rPr>
                <w:rFonts w:hint="eastAsia"/>
                <w:color w:val="auto"/>
              </w:rPr>
              <w:t>0.01t/a</w:t>
            </w:r>
          </w:p>
        </w:tc>
        <w:tc>
          <w:tcPr>
            <w:tcW w:w="1600" w:type="dxa"/>
            <w:vAlign w:val="center"/>
          </w:tcPr>
          <w:p w14:paraId="29DD2433">
            <w:pPr>
              <w:pStyle w:val="43"/>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600" w:type="dxa"/>
            <w:vAlign w:val="center"/>
          </w:tcPr>
          <w:p w14:paraId="23C27B24">
            <w:pPr>
              <w:pStyle w:val="43"/>
              <w:spacing w:beforeLines="0" w:afterLines="0" w:line="240" w:lineRule="auto"/>
              <w:rPr>
                <w:color w:val="auto"/>
              </w:rPr>
            </w:pPr>
            <w:r>
              <w:rPr>
                <w:rFonts w:hint="eastAsia"/>
                <w:color w:val="auto"/>
              </w:rPr>
              <w:t>0.01t/a</w:t>
            </w:r>
          </w:p>
        </w:tc>
        <w:tc>
          <w:tcPr>
            <w:tcW w:w="1601" w:type="dxa"/>
            <w:vAlign w:val="center"/>
          </w:tcPr>
          <w:p w14:paraId="76FAD9E9">
            <w:pPr>
              <w:pStyle w:val="43"/>
              <w:spacing w:beforeLines="0" w:afterLines="0" w:line="240" w:lineRule="auto"/>
              <w:rPr>
                <w:color w:val="auto"/>
              </w:rPr>
            </w:pPr>
            <w:r>
              <w:rPr>
                <w:color w:val="auto"/>
              </w:rPr>
              <w:t>0.0</w:t>
            </w:r>
            <w:r>
              <w:rPr>
                <w:rFonts w:hint="eastAsia"/>
                <w:color w:val="auto"/>
              </w:rPr>
              <w:t>1</w:t>
            </w:r>
            <w:r>
              <w:rPr>
                <w:color w:val="auto"/>
              </w:rPr>
              <w:t>t/a</w:t>
            </w:r>
          </w:p>
        </w:tc>
      </w:tr>
      <w:tr w14:paraId="1416BE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69" w:type="dxa"/>
            <w:vAlign w:val="center"/>
          </w:tcPr>
          <w:p w14:paraId="6794BD0E">
            <w:pPr>
              <w:pStyle w:val="43"/>
              <w:spacing w:beforeLines="0" w:afterLines="0" w:line="240" w:lineRule="auto"/>
              <w:rPr>
                <w:rFonts w:ascii="Times New Roman" w:cs="宋体"/>
                <w:snapToGrid w:val="0"/>
                <w:kern w:val="21"/>
                <w:szCs w:val="21"/>
              </w:rPr>
            </w:pPr>
            <w:r>
              <w:rPr>
                <w:rFonts w:hint="eastAsia" w:ascii="Times New Roman" w:cs="宋体"/>
                <w:snapToGrid w:val="0"/>
                <w:kern w:val="21"/>
                <w:szCs w:val="21"/>
              </w:rPr>
              <w:t>生活垃圾</w:t>
            </w:r>
          </w:p>
        </w:tc>
        <w:tc>
          <w:tcPr>
            <w:tcW w:w="1417" w:type="dxa"/>
            <w:vAlign w:val="center"/>
          </w:tcPr>
          <w:p w14:paraId="5025AEE2">
            <w:pPr>
              <w:pStyle w:val="43"/>
              <w:spacing w:beforeLines="0" w:afterLines="0" w:line="240" w:lineRule="auto"/>
            </w:pPr>
            <w:r>
              <w:rPr>
                <w:rFonts w:hint="eastAsia"/>
              </w:rPr>
              <w:t>S7</w:t>
            </w:r>
            <w:bookmarkStart w:id="289" w:name="OLE_LINK97"/>
            <w:r>
              <w:rPr>
                <w:rFonts w:hint="eastAsia"/>
              </w:rPr>
              <w:t>生活垃圾</w:t>
            </w:r>
            <w:bookmarkEnd w:id="289"/>
          </w:p>
        </w:tc>
        <w:tc>
          <w:tcPr>
            <w:tcW w:w="1600" w:type="dxa"/>
            <w:vAlign w:val="center"/>
          </w:tcPr>
          <w:p w14:paraId="50B2E40D">
            <w:pPr>
              <w:pStyle w:val="43"/>
              <w:spacing w:beforeLines="0" w:afterLines="0" w:line="240" w:lineRule="auto"/>
            </w:pPr>
            <w:r>
              <w:t>/</w:t>
            </w:r>
          </w:p>
        </w:tc>
        <w:tc>
          <w:tcPr>
            <w:tcW w:w="1600" w:type="dxa"/>
            <w:vAlign w:val="center"/>
          </w:tcPr>
          <w:p w14:paraId="79E3994A">
            <w:pPr>
              <w:pStyle w:val="43"/>
              <w:spacing w:beforeLines="0" w:afterLines="0" w:line="240" w:lineRule="auto"/>
            </w:pPr>
            <w:r>
              <w:t>/</w:t>
            </w:r>
          </w:p>
        </w:tc>
        <w:tc>
          <w:tcPr>
            <w:tcW w:w="1600" w:type="dxa"/>
            <w:vAlign w:val="center"/>
          </w:tcPr>
          <w:p w14:paraId="2B7CB288">
            <w:pPr>
              <w:pStyle w:val="43"/>
              <w:spacing w:beforeLines="0" w:afterLines="0" w:line="240" w:lineRule="auto"/>
            </w:pPr>
            <w:r>
              <w:t>/</w:t>
            </w:r>
          </w:p>
        </w:tc>
        <w:tc>
          <w:tcPr>
            <w:tcW w:w="1601" w:type="dxa"/>
            <w:vAlign w:val="center"/>
          </w:tcPr>
          <w:p w14:paraId="69D9CE9D">
            <w:pPr>
              <w:pStyle w:val="43"/>
              <w:spacing w:beforeLines="0" w:afterLines="0" w:line="240" w:lineRule="auto"/>
            </w:pPr>
            <w:bookmarkStart w:id="290" w:name="OLE_LINK100"/>
            <w:r>
              <w:rPr>
                <w:rFonts w:hint="eastAsia"/>
              </w:rPr>
              <w:t>3.3t/a</w:t>
            </w:r>
            <w:bookmarkEnd w:id="290"/>
          </w:p>
        </w:tc>
        <w:tc>
          <w:tcPr>
            <w:tcW w:w="1600" w:type="dxa"/>
            <w:vAlign w:val="center"/>
          </w:tcPr>
          <w:p w14:paraId="63D85A9D">
            <w:pPr>
              <w:pStyle w:val="43"/>
              <w:spacing w:beforeLines="0" w:afterLines="0" w:line="240" w:lineRule="auto"/>
            </w:pPr>
            <w:r>
              <w:t>/</w:t>
            </w:r>
          </w:p>
        </w:tc>
        <w:tc>
          <w:tcPr>
            <w:tcW w:w="1600" w:type="dxa"/>
            <w:vAlign w:val="center"/>
          </w:tcPr>
          <w:p w14:paraId="7E19235B">
            <w:pPr>
              <w:pStyle w:val="43"/>
              <w:spacing w:beforeLines="0" w:afterLines="0" w:line="240" w:lineRule="auto"/>
            </w:pPr>
            <w:r>
              <w:rPr>
                <w:rFonts w:hint="eastAsia"/>
              </w:rPr>
              <w:t>3.3t/a</w:t>
            </w:r>
          </w:p>
        </w:tc>
        <w:tc>
          <w:tcPr>
            <w:tcW w:w="1601" w:type="dxa"/>
            <w:vAlign w:val="center"/>
          </w:tcPr>
          <w:p w14:paraId="256E5099">
            <w:pPr>
              <w:pStyle w:val="43"/>
              <w:spacing w:beforeLines="0" w:afterLines="0" w:line="240" w:lineRule="auto"/>
            </w:pPr>
            <w:r>
              <w:rPr>
                <w:rFonts w:hint="eastAsia"/>
              </w:rPr>
              <w:t>3.3t/a</w:t>
            </w:r>
          </w:p>
        </w:tc>
      </w:tr>
    </w:tbl>
    <w:p w14:paraId="1C097468">
      <w:pPr>
        <w:pStyle w:val="43"/>
        <w:spacing w:before="192" w:beforeLines="80" w:after="24"/>
        <w:jc w:val="left"/>
      </w:pPr>
      <w:r>
        <w:rPr>
          <w:rFonts w:ascii="Times New Roman"/>
          <w:snapToGrid w:val="0"/>
          <w:kern w:val="21"/>
          <w:szCs w:val="21"/>
        </w:rPr>
        <w:t>注：</w:t>
      </w:r>
      <w:r>
        <w:rPr>
          <w:rFonts w:ascii="Times New Roman"/>
          <w:snapToGrid w:val="0"/>
          <w:spacing w:val="-16"/>
          <w:kern w:val="21"/>
          <w:szCs w:val="21"/>
        </w:rPr>
        <w:fldChar w:fldCharType="begin"/>
      </w:r>
      <w:r>
        <w:rPr>
          <w:rFonts w:ascii="Times New Roman"/>
          <w:snapToGrid w:val="0"/>
          <w:spacing w:val="-16"/>
          <w:kern w:val="21"/>
          <w:szCs w:val="21"/>
        </w:rPr>
        <w:instrText xml:space="preserve"> = 6 \* GB3 \* MERGEFORMAT </w:instrText>
      </w:r>
      <w:r>
        <w:rPr>
          <w:rFonts w:ascii="Times New Roman"/>
          <w:snapToGrid w:val="0"/>
          <w:spacing w:val="-16"/>
          <w:kern w:val="21"/>
          <w:szCs w:val="21"/>
        </w:rPr>
        <w:fldChar w:fldCharType="separate"/>
      </w:r>
      <w:r>
        <w:rPr>
          <w:rFonts w:hint="eastAsia" w:hAnsi="宋体" w:cs="宋体"/>
          <w:szCs w:val="21"/>
        </w:rPr>
        <w:t>⑥</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1 \* GB3 \* MERGEFORMAT </w:instrText>
      </w:r>
      <w:r>
        <w:rPr>
          <w:rFonts w:ascii="Times New Roman"/>
          <w:snapToGrid w:val="0"/>
          <w:spacing w:val="-6"/>
          <w:kern w:val="21"/>
          <w:szCs w:val="21"/>
        </w:rPr>
        <w:fldChar w:fldCharType="separate"/>
      </w:r>
      <w:r>
        <w:rPr>
          <w:rFonts w:hint="eastAsia" w:hAnsi="宋体" w:cs="宋体"/>
          <w:szCs w:val="21"/>
        </w:rPr>
        <w:t>①</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3 \* GB3 \* MERGEFORMAT </w:instrText>
      </w:r>
      <w:r>
        <w:rPr>
          <w:rFonts w:ascii="Times New Roman"/>
          <w:snapToGrid w:val="0"/>
          <w:spacing w:val="-6"/>
          <w:kern w:val="21"/>
          <w:szCs w:val="21"/>
        </w:rPr>
        <w:fldChar w:fldCharType="separate"/>
      </w:r>
      <w:r>
        <w:rPr>
          <w:rFonts w:hint="eastAsia" w:hAnsi="宋体" w:cs="宋体"/>
          <w:szCs w:val="21"/>
        </w:rPr>
        <w:t>③</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4 \* GB3 \* MERGEFORMAT </w:instrText>
      </w:r>
      <w:r>
        <w:rPr>
          <w:rFonts w:ascii="Times New Roman"/>
          <w:snapToGrid w:val="0"/>
          <w:spacing w:val="-6"/>
          <w:kern w:val="21"/>
          <w:szCs w:val="21"/>
        </w:rPr>
        <w:fldChar w:fldCharType="separate"/>
      </w:r>
      <w:r>
        <w:rPr>
          <w:rFonts w:hint="eastAsia" w:hAnsi="宋体" w:cs="宋体"/>
          <w:szCs w:val="21"/>
        </w:rPr>
        <w:t>④</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16"/>
          <w:kern w:val="21"/>
          <w:szCs w:val="21"/>
        </w:rPr>
        <w:fldChar w:fldCharType="begin"/>
      </w:r>
      <w:r>
        <w:rPr>
          <w:rFonts w:ascii="Times New Roman"/>
          <w:snapToGrid w:val="0"/>
          <w:spacing w:val="-16"/>
          <w:kern w:val="21"/>
          <w:szCs w:val="21"/>
        </w:rPr>
        <w:instrText xml:space="preserve"> = 5 \* GB3 \* MERGEFORMAT </w:instrText>
      </w:r>
      <w:r>
        <w:rPr>
          <w:rFonts w:ascii="Times New Roman"/>
          <w:snapToGrid w:val="0"/>
          <w:spacing w:val="-16"/>
          <w:kern w:val="21"/>
          <w:szCs w:val="21"/>
        </w:rPr>
        <w:fldChar w:fldCharType="separate"/>
      </w:r>
      <w:r>
        <w:rPr>
          <w:rFonts w:hint="eastAsia" w:hAnsi="宋体" w:cs="宋体"/>
          <w:szCs w:val="21"/>
        </w:rPr>
        <w:t>⑤</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7 \* GB3 \* MERGEFORMAT </w:instrText>
      </w:r>
      <w:r>
        <w:rPr>
          <w:rFonts w:ascii="Times New Roman"/>
          <w:snapToGrid w:val="0"/>
          <w:spacing w:val="-6"/>
          <w:kern w:val="21"/>
          <w:szCs w:val="21"/>
        </w:rPr>
        <w:fldChar w:fldCharType="separate"/>
      </w:r>
      <w:r>
        <w:rPr>
          <w:rFonts w:hint="eastAsia" w:hAnsi="宋体" w:cs="宋体"/>
          <w:szCs w:val="21"/>
        </w:rPr>
        <w:t>⑦</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16"/>
          <w:kern w:val="21"/>
          <w:szCs w:val="21"/>
        </w:rPr>
        <w:fldChar w:fldCharType="begin"/>
      </w:r>
      <w:r>
        <w:rPr>
          <w:rFonts w:ascii="Times New Roman"/>
          <w:snapToGrid w:val="0"/>
          <w:spacing w:val="-16"/>
          <w:kern w:val="21"/>
          <w:szCs w:val="21"/>
        </w:rPr>
        <w:instrText xml:space="preserve"> = 6 \* GB3 \* MERGEFORMAT </w:instrText>
      </w:r>
      <w:r>
        <w:rPr>
          <w:rFonts w:ascii="Times New Roman"/>
          <w:snapToGrid w:val="0"/>
          <w:spacing w:val="-16"/>
          <w:kern w:val="21"/>
          <w:szCs w:val="21"/>
        </w:rPr>
        <w:fldChar w:fldCharType="separate"/>
      </w:r>
      <w:r>
        <w:rPr>
          <w:rFonts w:hint="eastAsia" w:hAnsi="宋体" w:cs="宋体"/>
          <w:szCs w:val="21"/>
        </w:rPr>
        <w:t>⑥</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1 \* GB3 \* MERGEFORMAT </w:instrText>
      </w:r>
      <w:r>
        <w:rPr>
          <w:rFonts w:ascii="Times New Roman"/>
          <w:snapToGrid w:val="0"/>
          <w:spacing w:val="-6"/>
          <w:kern w:val="21"/>
          <w:szCs w:val="21"/>
        </w:rPr>
        <w:fldChar w:fldCharType="separate"/>
      </w:r>
      <w:r>
        <w:rPr>
          <w:rFonts w:hint="eastAsia" w:hAnsi="宋体" w:cs="宋体"/>
          <w:szCs w:val="21"/>
        </w:rPr>
        <w:t>①</w:t>
      </w:r>
      <w:r>
        <w:rPr>
          <w:rFonts w:ascii="Times New Roman"/>
          <w:snapToGrid w:val="0"/>
          <w:spacing w:val="-6"/>
          <w:kern w:val="21"/>
          <w:szCs w:val="21"/>
        </w:rPr>
        <w:fldChar w:fldCharType="end"/>
      </w:r>
    </w:p>
    <w:p w14:paraId="2B71DD74">
      <w:pPr>
        <w:pStyle w:val="51"/>
      </w:pPr>
    </w:p>
    <w:p w14:paraId="0B9C00B2">
      <w:pPr>
        <w:pStyle w:val="3"/>
      </w:pPr>
    </w:p>
    <w:p w14:paraId="1DA15472">
      <w:pPr>
        <w:pStyle w:val="49"/>
        <w:ind w:firstLine="482"/>
      </w:pPr>
      <w:r>
        <w:drawing>
          <wp:anchor distT="0" distB="0" distL="114935" distR="114935" simplePos="0" relativeHeight="251666432" behindDoc="0" locked="0" layoutInCell="1" allowOverlap="1">
            <wp:simplePos x="0" y="0"/>
            <wp:positionH relativeFrom="column">
              <wp:posOffset>555625</wp:posOffset>
            </wp:positionH>
            <wp:positionV relativeFrom="paragraph">
              <wp:posOffset>380365</wp:posOffset>
            </wp:positionV>
            <wp:extent cx="7429500" cy="5286375"/>
            <wp:effectExtent l="0" t="0" r="0" b="9525"/>
            <wp:wrapNone/>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37"/>
                    <a:stretch>
                      <a:fillRect/>
                    </a:stretch>
                  </pic:blipFill>
                  <pic:spPr>
                    <a:xfrm>
                      <a:off x="0" y="0"/>
                      <a:ext cx="7429500" cy="5286375"/>
                    </a:xfrm>
                    <a:prstGeom prst="rect">
                      <a:avLst/>
                    </a:prstGeom>
                    <a:noFill/>
                    <a:ln>
                      <a:noFill/>
                    </a:ln>
                  </pic:spPr>
                </pic:pic>
              </a:graphicData>
            </a:graphic>
          </wp:anchor>
        </w:drawing>
      </w:r>
      <w:r>
        <w:rPr>
          <w:rFonts w:hint="eastAsia"/>
        </w:rPr>
        <w:t>附图1：</w:t>
      </w:r>
      <w:r>
        <w:rPr>
          <w:rFonts w:hint="eastAsia"/>
          <w:lang w:val="en-US" w:eastAsia="zh-CN"/>
        </w:rPr>
        <w:t>项目</w:t>
      </w:r>
      <w:r>
        <w:rPr>
          <w:rFonts w:hint="eastAsia"/>
        </w:rPr>
        <w:t>地理位置图</w:t>
      </w:r>
    </w:p>
    <w:sectPr>
      <w:headerReference r:id="rId11" w:type="first"/>
      <w:headerReference r:id="rId9" w:type="default"/>
      <w:headerReference r:id="rId10" w:type="even"/>
      <w:pgSz w:w="16838" w:h="11906" w:orient="landscape"/>
      <w:pgMar w:top="1531" w:right="1701" w:bottom="1531" w:left="1701"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方正小标宋_GBK">
    <w:altName w:val="微软雅黑"/>
    <w:panose1 w:val="03000509000000000000"/>
    <w:charset w:val="86"/>
    <w:family w:val="script"/>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等线">
    <w:panose1 w:val="02010600030101010101"/>
    <w:charset w:val="86"/>
    <w:family w:val="auto"/>
    <w:pitch w:val="default"/>
    <w:sig w:usb0="A00002BF" w:usb1="38CF7CFA" w:usb2="00000016" w:usb3="00000000" w:csb0="0004000F" w:csb1="00000000"/>
  </w:font>
  <w:font w:name="Segoe UI Symbol">
    <w:panose1 w:val="020B0502040204020203"/>
    <w:charset w:val="00"/>
    <w:family w:val="swiss"/>
    <w:pitch w:val="default"/>
    <w:sig w:usb0="800001E3" w:usb1="1200FFEF" w:usb2="00040000" w:usb3="04000000" w:csb0="00000001" w:csb1="4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A1F53D">
    <w:pPr>
      <w:pStyle w:val="15"/>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81842479"/>
      <w:docPartObj>
        <w:docPartGallery w:val="autotext"/>
      </w:docPartObj>
    </w:sdtPr>
    <w:sdtContent>
      <w:p w14:paraId="655D7F8E">
        <w:pPr>
          <w:pStyle w:val="15"/>
          <w:jc w:val="center"/>
        </w:pPr>
        <w:r>
          <w:fldChar w:fldCharType="begin"/>
        </w:r>
        <w:r>
          <w:instrText xml:space="preserve">PAGE   \* MERGEFORMAT</w:instrText>
        </w:r>
        <w:r>
          <w:fldChar w:fldCharType="separate"/>
        </w:r>
        <w:r>
          <w:rPr>
            <w:lang w:val="zh-CN"/>
          </w:rPr>
          <w:t>2</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50877652"/>
      <w:docPartObj>
        <w:docPartGallery w:val="autotext"/>
      </w:docPartObj>
    </w:sdtPr>
    <w:sdtContent>
      <w:p w14:paraId="1435A945">
        <w:pPr>
          <w:pStyle w:val="15"/>
          <w:jc w:val="center"/>
        </w:pPr>
        <w:r>
          <w:fldChar w:fldCharType="begin"/>
        </w:r>
        <w:r>
          <w:instrText xml:space="preserve">PAGE   \* MERGEFORMAT</w:instrText>
        </w:r>
        <w:r>
          <w:fldChar w:fldCharType="separate"/>
        </w:r>
        <w:r>
          <w:rPr>
            <w:lang w:val="zh-CN"/>
          </w:rPr>
          <w:t>2</w:t>
        </w:r>
        <w: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BFBEBB">
    <w:pPr>
      <w:pStyle w:val="1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474DC1">
    <w:pPr>
      <w:pStyle w:val="1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7A2099">
    <w:pPr>
      <w:pStyle w:val="1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1B4F49">
    <w:pPr>
      <w:pStyle w:val="16"/>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14FFE7">
    <w:pPr>
      <w:pStyle w:val="16"/>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FF87EB">
    <w:pPr>
      <w:pStyle w:val="1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75A0D8C"/>
    <w:multiLevelType w:val="multilevel"/>
    <w:tmpl w:val="175A0D8C"/>
    <w:lvl w:ilvl="0" w:tentative="0">
      <w:start w:val="1"/>
      <w:numFmt w:val="decimal"/>
      <w:suff w:val="nothing"/>
      <w:lvlText w:val="%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
    <w:nsid w:val="295E28F7"/>
    <w:multiLevelType w:val="multilevel"/>
    <w:tmpl w:val="295E28F7"/>
    <w:lvl w:ilvl="0" w:tentative="0">
      <w:start w:val="1"/>
      <w:numFmt w:val="decimal"/>
      <w:suff w:val="nothing"/>
      <w:lvlText w:val="%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
    <w:nsid w:val="298A3C8F"/>
    <w:multiLevelType w:val="multilevel"/>
    <w:tmpl w:val="298A3C8F"/>
    <w:lvl w:ilvl="0" w:tentative="0">
      <w:start w:val="1"/>
      <w:numFmt w:val="chineseCountingThousand"/>
      <w:pStyle w:val="2"/>
      <w:suff w:val="space"/>
      <w:lvlText w:val="%1、"/>
      <w:lvlJc w:val="left"/>
      <w:pPr>
        <w:ind w:left="0" w:firstLine="0"/>
      </w:pPr>
      <w:rPr>
        <w:rFonts w:hint="eastAsia"/>
      </w:rPr>
    </w:lvl>
    <w:lvl w:ilvl="1" w:tentative="0">
      <w:start w:val="1"/>
      <w:numFmt w:val="decimal"/>
      <w:pStyle w:val="4"/>
      <w:isLgl/>
      <w:suff w:val="space"/>
      <w:lvlText w:val="%1.%2"/>
      <w:lvlJc w:val="left"/>
      <w:pPr>
        <w:ind w:left="0" w:firstLine="0"/>
      </w:pPr>
      <w:rPr>
        <w:rFonts w:hint="eastAsia"/>
      </w:rPr>
    </w:lvl>
    <w:lvl w:ilvl="2" w:tentative="0">
      <w:start w:val="1"/>
      <w:numFmt w:val="decimal"/>
      <w:pStyle w:val="5"/>
      <w:isLgl/>
      <w:suff w:val="space"/>
      <w:lvlText w:val="%1.%2.%3"/>
      <w:lvlJc w:val="left"/>
      <w:pPr>
        <w:ind w:left="0" w:hanging="32766"/>
      </w:pPr>
      <w:rPr>
        <w:rFonts w:hint="eastAsia"/>
      </w:rPr>
    </w:lvl>
    <w:lvl w:ilvl="3" w:tentative="0">
      <w:start w:val="1"/>
      <w:numFmt w:val="decimal"/>
      <w:pStyle w:val="6"/>
      <w:isLgl/>
      <w:suff w:val="space"/>
      <w:lvlText w:val="%1.%2.%3.%4"/>
      <w:lvlJc w:val="left"/>
      <w:pPr>
        <w:ind w:left="0" w:firstLine="0"/>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
    <w:nsid w:val="68530AAC"/>
    <w:multiLevelType w:val="multilevel"/>
    <w:tmpl w:val="68530AAC"/>
    <w:lvl w:ilvl="0" w:tentative="0">
      <w:start w:val="1"/>
      <w:numFmt w:val="decimal"/>
      <w:suff w:val="nothing"/>
      <w:lvlText w:val="%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doNotHyphenateCaps/>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WRmOWFkY2NhNWE0YzNmMjM1YjlkMTc4M2Q0ZTQxMDcifQ=="/>
  </w:docVars>
  <w:rsids>
    <w:rsidRoot w:val="00A14947"/>
    <w:rsid w:val="00001B30"/>
    <w:rsid w:val="0000328A"/>
    <w:rsid w:val="000038EF"/>
    <w:rsid w:val="000060B3"/>
    <w:rsid w:val="00013E22"/>
    <w:rsid w:val="00014A59"/>
    <w:rsid w:val="0001615B"/>
    <w:rsid w:val="000176F4"/>
    <w:rsid w:val="00020056"/>
    <w:rsid w:val="000202BB"/>
    <w:rsid w:val="000213AC"/>
    <w:rsid w:val="00026D44"/>
    <w:rsid w:val="0003627C"/>
    <w:rsid w:val="00036C54"/>
    <w:rsid w:val="00037A32"/>
    <w:rsid w:val="00040EF1"/>
    <w:rsid w:val="0004364B"/>
    <w:rsid w:val="00043BDA"/>
    <w:rsid w:val="00047CCF"/>
    <w:rsid w:val="000509FF"/>
    <w:rsid w:val="000519C5"/>
    <w:rsid w:val="00051D57"/>
    <w:rsid w:val="000538F0"/>
    <w:rsid w:val="00054DEA"/>
    <w:rsid w:val="0005547A"/>
    <w:rsid w:val="0005569E"/>
    <w:rsid w:val="000556E6"/>
    <w:rsid w:val="00055E7E"/>
    <w:rsid w:val="000578A5"/>
    <w:rsid w:val="00061B1F"/>
    <w:rsid w:val="00062356"/>
    <w:rsid w:val="00065E68"/>
    <w:rsid w:val="00066908"/>
    <w:rsid w:val="00070030"/>
    <w:rsid w:val="0007030C"/>
    <w:rsid w:val="0007161F"/>
    <w:rsid w:val="00071C77"/>
    <w:rsid w:val="000720A6"/>
    <w:rsid w:val="000733C4"/>
    <w:rsid w:val="00074783"/>
    <w:rsid w:val="00076687"/>
    <w:rsid w:val="0008070B"/>
    <w:rsid w:val="000810AC"/>
    <w:rsid w:val="00081A02"/>
    <w:rsid w:val="00082231"/>
    <w:rsid w:val="000860D3"/>
    <w:rsid w:val="00086158"/>
    <w:rsid w:val="00087493"/>
    <w:rsid w:val="00092023"/>
    <w:rsid w:val="00092D38"/>
    <w:rsid w:val="0009377B"/>
    <w:rsid w:val="00095F6C"/>
    <w:rsid w:val="0009618F"/>
    <w:rsid w:val="000A20C9"/>
    <w:rsid w:val="000A32CF"/>
    <w:rsid w:val="000A39A7"/>
    <w:rsid w:val="000A6396"/>
    <w:rsid w:val="000B03B4"/>
    <w:rsid w:val="000B058F"/>
    <w:rsid w:val="000B07A0"/>
    <w:rsid w:val="000B1284"/>
    <w:rsid w:val="000B3069"/>
    <w:rsid w:val="000B4467"/>
    <w:rsid w:val="000B4DB9"/>
    <w:rsid w:val="000C09AC"/>
    <w:rsid w:val="000C1CBF"/>
    <w:rsid w:val="000C308E"/>
    <w:rsid w:val="000C4900"/>
    <w:rsid w:val="000C6377"/>
    <w:rsid w:val="000C6623"/>
    <w:rsid w:val="000C767F"/>
    <w:rsid w:val="000C7C1B"/>
    <w:rsid w:val="000D4230"/>
    <w:rsid w:val="000D4DD5"/>
    <w:rsid w:val="000D5A44"/>
    <w:rsid w:val="000D62AD"/>
    <w:rsid w:val="000E05F2"/>
    <w:rsid w:val="000E10F3"/>
    <w:rsid w:val="000E360E"/>
    <w:rsid w:val="000E3AFA"/>
    <w:rsid w:val="000E3ED2"/>
    <w:rsid w:val="000E4AC4"/>
    <w:rsid w:val="000E7A55"/>
    <w:rsid w:val="000F0C5B"/>
    <w:rsid w:val="000F1A5C"/>
    <w:rsid w:val="000F7360"/>
    <w:rsid w:val="000F73F0"/>
    <w:rsid w:val="00105537"/>
    <w:rsid w:val="00110119"/>
    <w:rsid w:val="001124F5"/>
    <w:rsid w:val="00113AC2"/>
    <w:rsid w:val="00115138"/>
    <w:rsid w:val="00121F89"/>
    <w:rsid w:val="0012419D"/>
    <w:rsid w:val="00125D3D"/>
    <w:rsid w:val="00127D28"/>
    <w:rsid w:val="00130EB7"/>
    <w:rsid w:val="00131F42"/>
    <w:rsid w:val="001357F1"/>
    <w:rsid w:val="00137F3A"/>
    <w:rsid w:val="00140FA8"/>
    <w:rsid w:val="00142FEB"/>
    <w:rsid w:val="00143A2D"/>
    <w:rsid w:val="00145A41"/>
    <w:rsid w:val="00146580"/>
    <w:rsid w:val="00151675"/>
    <w:rsid w:val="00153552"/>
    <w:rsid w:val="00153DAF"/>
    <w:rsid w:val="00154510"/>
    <w:rsid w:val="001553CF"/>
    <w:rsid w:val="001571A0"/>
    <w:rsid w:val="00157435"/>
    <w:rsid w:val="00161048"/>
    <w:rsid w:val="00161495"/>
    <w:rsid w:val="00163D2D"/>
    <w:rsid w:val="0016772D"/>
    <w:rsid w:val="00173F12"/>
    <w:rsid w:val="00174043"/>
    <w:rsid w:val="0017504D"/>
    <w:rsid w:val="00175536"/>
    <w:rsid w:val="00175755"/>
    <w:rsid w:val="00176068"/>
    <w:rsid w:val="0017671A"/>
    <w:rsid w:val="00177422"/>
    <w:rsid w:val="001816B9"/>
    <w:rsid w:val="00183405"/>
    <w:rsid w:val="00183534"/>
    <w:rsid w:val="00184245"/>
    <w:rsid w:val="00184526"/>
    <w:rsid w:val="00184590"/>
    <w:rsid w:val="001870D1"/>
    <w:rsid w:val="0018781E"/>
    <w:rsid w:val="001903FE"/>
    <w:rsid w:val="001910A2"/>
    <w:rsid w:val="001912F4"/>
    <w:rsid w:val="0019262D"/>
    <w:rsid w:val="00192A8C"/>
    <w:rsid w:val="0019372D"/>
    <w:rsid w:val="00194BFC"/>
    <w:rsid w:val="00196224"/>
    <w:rsid w:val="00196529"/>
    <w:rsid w:val="00196B77"/>
    <w:rsid w:val="0019791A"/>
    <w:rsid w:val="001A00B4"/>
    <w:rsid w:val="001A1B35"/>
    <w:rsid w:val="001A26C9"/>
    <w:rsid w:val="001A48A2"/>
    <w:rsid w:val="001A5894"/>
    <w:rsid w:val="001A5A94"/>
    <w:rsid w:val="001A6F61"/>
    <w:rsid w:val="001A72F7"/>
    <w:rsid w:val="001B40F1"/>
    <w:rsid w:val="001B4A2E"/>
    <w:rsid w:val="001B72B8"/>
    <w:rsid w:val="001C0C90"/>
    <w:rsid w:val="001C158B"/>
    <w:rsid w:val="001C3103"/>
    <w:rsid w:val="001C64E5"/>
    <w:rsid w:val="001C69B3"/>
    <w:rsid w:val="001C7678"/>
    <w:rsid w:val="001C7BE3"/>
    <w:rsid w:val="001D15EA"/>
    <w:rsid w:val="001D1921"/>
    <w:rsid w:val="001D5595"/>
    <w:rsid w:val="001D7874"/>
    <w:rsid w:val="001D7F22"/>
    <w:rsid w:val="001E2D92"/>
    <w:rsid w:val="001E5C7D"/>
    <w:rsid w:val="001E6A78"/>
    <w:rsid w:val="001F0F17"/>
    <w:rsid w:val="001F3347"/>
    <w:rsid w:val="001F5F0E"/>
    <w:rsid w:val="001F69E4"/>
    <w:rsid w:val="002057C9"/>
    <w:rsid w:val="00206C0F"/>
    <w:rsid w:val="002125B4"/>
    <w:rsid w:val="00213BAD"/>
    <w:rsid w:val="0021416B"/>
    <w:rsid w:val="002155B8"/>
    <w:rsid w:val="002179F1"/>
    <w:rsid w:val="00221DA7"/>
    <w:rsid w:val="00222168"/>
    <w:rsid w:val="00222C1D"/>
    <w:rsid w:val="00224839"/>
    <w:rsid w:val="002249B2"/>
    <w:rsid w:val="00225B87"/>
    <w:rsid w:val="00226574"/>
    <w:rsid w:val="002278EC"/>
    <w:rsid w:val="002308DD"/>
    <w:rsid w:val="00231BAB"/>
    <w:rsid w:val="0023280E"/>
    <w:rsid w:val="002377D1"/>
    <w:rsid w:val="0023796E"/>
    <w:rsid w:val="00240636"/>
    <w:rsid w:val="0024128F"/>
    <w:rsid w:val="00241A4C"/>
    <w:rsid w:val="00241A84"/>
    <w:rsid w:val="002422CC"/>
    <w:rsid w:val="00243B3B"/>
    <w:rsid w:val="00243E07"/>
    <w:rsid w:val="002503B4"/>
    <w:rsid w:val="002506BC"/>
    <w:rsid w:val="00250B68"/>
    <w:rsid w:val="00250E2B"/>
    <w:rsid w:val="002523ED"/>
    <w:rsid w:val="00254345"/>
    <w:rsid w:val="00254852"/>
    <w:rsid w:val="002571C0"/>
    <w:rsid w:val="0025745E"/>
    <w:rsid w:val="00260E42"/>
    <w:rsid w:val="00260E65"/>
    <w:rsid w:val="00262351"/>
    <w:rsid w:val="0026273F"/>
    <w:rsid w:val="00264557"/>
    <w:rsid w:val="002650E3"/>
    <w:rsid w:val="00266946"/>
    <w:rsid w:val="00266D60"/>
    <w:rsid w:val="002716B0"/>
    <w:rsid w:val="00271B80"/>
    <w:rsid w:val="002775C8"/>
    <w:rsid w:val="002775ED"/>
    <w:rsid w:val="002805AB"/>
    <w:rsid w:val="00283378"/>
    <w:rsid w:val="00284204"/>
    <w:rsid w:val="0028456B"/>
    <w:rsid w:val="002846F5"/>
    <w:rsid w:val="00285527"/>
    <w:rsid w:val="00286EFD"/>
    <w:rsid w:val="00291773"/>
    <w:rsid w:val="00296D36"/>
    <w:rsid w:val="00297B3D"/>
    <w:rsid w:val="00297D44"/>
    <w:rsid w:val="002A168C"/>
    <w:rsid w:val="002A1BB4"/>
    <w:rsid w:val="002A3DC7"/>
    <w:rsid w:val="002A4370"/>
    <w:rsid w:val="002A4618"/>
    <w:rsid w:val="002B4275"/>
    <w:rsid w:val="002B47B4"/>
    <w:rsid w:val="002B49E2"/>
    <w:rsid w:val="002B4DFF"/>
    <w:rsid w:val="002B688A"/>
    <w:rsid w:val="002B7B00"/>
    <w:rsid w:val="002B7C44"/>
    <w:rsid w:val="002C0B08"/>
    <w:rsid w:val="002C2099"/>
    <w:rsid w:val="002C2B17"/>
    <w:rsid w:val="002C5AF2"/>
    <w:rsid w:val="002C5B9B"/>
    <w:rsid w:val="002C6A2A"/>
    <w:rsid w:val="002D0BB6"/>
    <w:rsid w:val="002D3398"/>
    <w:rsid w:val="002D3AEE"/>
    <w:rsid w:val="002D3DD0"/>
    <w:rsid w:val="002D60FA"/>
    <w:rsid w:val="002D704C"/>
    <w:rsid w:val="002E0690"/>
    <w:rsid w:val="002E0BC7"/>
    <w:rsid w:val="002E0C03"/>
    <w:rsid w:val="002E1F3A"/>
    <w:rsid w:val="002E298A"/>
    <w:rsid w:val="002E3F0F"/>
    <w:rsid w:val="002E44E2"/>
    <w:rsid w:val="002E452E"/>
    <w:rsid w:val="002E578E"/>
    <w:rsid w:val="002E63A6"/>
    <w:rsid w:val="002E7093"/>
    <w:rsid w:val="00300EDD"/>
    <w:rsid w:val="0030119F"/>
    <w:rsid w:val="00301978"/>
    <w:rsid w:val="00301F22"/>
    <w:rsid w:val="0030332C"/>
    <w:rsid w:val="00303E05"/>
    <w:rsid w:val="003051C2"/>
    <w:rsid w:val="003059F2"/>
    <w:rsid w:val="00306186"/>
    <w:rsid w:val="003070F6"/>
    <w:rsid w:val="00307FC5"/>
    <w:rsid w:val="00310185"/>
    <w:rsid w:val="00311074"/>
    <w:rsid w:val="00312296"/>
    <w:rsid w:val="00312544"/>
    <w:rsid w:val="00314F0E"/>
    <w:rsid w:val="0031649B"/>
    <w:rsid w:val="00321D8E"/>
    <w:rsid w:val="00323F5E"/>
    <w:rsid w:val="00325928"/>
    <w:rsid w:val="00330242"/>
    <w:rsid w:val="00332863"/>
    <w:rsid w:val="0033371E"/>
    <w:rsid w:val="0033490F"/>
    <w:rsid w:val="003367BD"/>
    <w:rsid w:val="0033684D"/>
    <w:rsid w:val="00337142"/>
    <w:rsid w:val="00337B42"/>
    <w:rsid w:val="00341B42"/>
    <w:rsid w:val="0034348F"/>
    <w:rsid w:val="00351D43"/>
    <w:rsid w:val="003530FC"/>
    <w:rsid w:val="00353C52"/>
    <w:rsid w:val="00356653"/>
    <w:rsid w:val="0035743F"/>
    <w:rsid w:val="00357BE2"/>
    <w:rsid w:val="0036170C"/>
    <w:rsid w:val="00366B31"/>
    <w:rsid w:val="00366E0F"/>
    <w:rsid w:val="003753AB"/>
    <w:rsid w:val="0037713D"/>
    <w:rsid w:val="003772F0"/>
    <w:rsid w:val="003779A4"/>
    <w:rsid w:val="00381A72"/>
    <w:rsid w:val="00383755"/>
    <w:rsid w:val="00384676"/>
    <w:rsid w:val="00385FC4"/>
    <w:rsid w:val="003863EC"/>
    <w:rsid w:val="00387504"/>
    <w:rsid w:val="00390857"/>
    <w:rsid w:val="003922D3"/>
    <w:rsid w:val="003926D3"/>
    <w:rsid w:val="003927F8"/>
    <w:rsid w:val="003A1B25"/>
    <w:rsid w:val="003A1FB8"/>
    <w:rsid w:val="003A4BF3"/>
    <w:rsid w:val="003A55A7"/>
    <w:rsid w:val="003A662A"/>
    <w:rsid w:val="003A6EB2"/>
    <w:rsid w:val="003B420D"/>
    <w:rsid w:val="003B4522"/>
    <w:rsid w:val="003C4D12"/>
    <w:rsid w:val="003C61B0"/>
    <w:rsid w:val="003C6C16"/>
    <w:rsid w:val="003D0DFB"/>
    <w:rsid w:val="003D1166"/>
    <w:rsid w:val="003D22F0"/>
    <w:rsid w:val="003D4E95"/>
    <w:rsid w:val="003D6BC2"/>
    <w:rsid w:val="003D794D"/>
    <w:rsid w:val="003E04C7"/>
    <w:rsid w:val="003E3058"/>
    <w:rsid w:val="003E476A"/>
    <w:rsid w:val="003E76A9"/>
    <w:rsid w:val="003F0809"/>
    <w:rsid w:val="003F1AB9"/>
    <w:rsid w:val="003F1ECE"/>
    <w:rsid w:val="003F25E6"/>
    <w:rsid w:val="003F27D5"/>
    <w:rsid w:val="003F33F8"/>
    <w:rsid w:val="003F499F"/>
    <w:rsid w:val="003F643D"/>
    <w:rsid w:val="003F6A8C"/>
    <w:rsid w:val="003F6A8F"/>
    <w:rsid w:val="003F755C"/>
    <w:rsid w:val="004025AD"/>
    <w:rsid w:val="00406F01"/>
    <w:rsid w:val="00406FE1"/>
    <w:rsid w:val="00407BC3"/>
    <w:rsid w:val="00414481"/>
    <w:rsid w:val="00415861"/>
    <w:rsid w:val="00416D50"/>
    <w:rsid w:val="00416FD5"/>
    <w:rsid w:val="00417772"/>
    <w:rsid w:val="00420E6A"/>
    <w:rsid w:val="00421FDD"/>
    <w:rsid w:val="00423E50"/>
    <w:rsid w:val="00425A9E"/>
    <w:rsid w:val="00425B15"/>
    <w:rsid w:val="00426867"/>
    <w:rsid w:val="00426CFD"/>
    <w:rsid w:val="00426D6B"/>
    <w:rsid w:val="00430166"/>
    <w:rsid w:val="00431E6C"/>
    <w:rsid w:val="00433CE7"/>
    <w:rsid w:val="00435D04"/>
    <w:rsid w:val="004408CA"/>
    <w:rsid w:val="00440AE9"/>
    <w:rsid w:val="00441B5E"/>
    <w:rsid w:val="00442FC4"/>
    <w:rsid w:val="004452D1"/>
    <w:rsid w:val="00446943"/>
    <w:rsid w:val="00450E33"/>
    <w:rsid w:val="00452738"/>
    <w:rsid w:val="004555A6"/>
    <w:rsid w:val="00456091"/>
    <w:rsid w:val="004562E8"/>
    <w:rsid w:val="004578E1"/>
    <w:rsid w:val="00460417"/>
    <w:rsid w:val="004639FD"/>
    <w:rsid w:val="00466321"/>
    <w:rsid w:val="0046673E"/>
    <w:rsid w:val="00470813"/>
    <w:rsid w:val="00471D39"/>
    <w:rsid w:val="00473CAB"/>
    <w:rsid w:val="00474029"/>
    <w:rsid w:val="00477815"/>
    <w:rsid w:val="00477C3B"/>
    <w:rsid w:val="00480568"/>
    <w:rsid w:val="00483CC2"/>
    <w:rsid w:val="00484A78"/>
    <w:rsid w:val="00484B9B"/>
    <w:rsid w:val="00484F15"/>
    <w:rsid w:val="004855F6"/>
    <w:rsid w:val="0048661E"/>
    <w:rsid w:val="00487272"/>
    <w:rsid w:val="0049435B"/>
    <w:rsid w:val="00494670"/>
    <w:rsid w:val="0049479A"/>
    <w:rsid w:val="00495149"/>
    <w:rsid w:val="00497E30"/>
    <w:rsid w:val="004A16B2"/>
    <w:rsid w:val="004A3823"/>
    <w:rsid w:val="004A5E3B"/>
    <w:rsid w:val="004A5F8C"/>
    <w:rsid w:val="004A7584"/>
    <w:rsid w:val="004B51C1"/>
    <w:rsid w:val="004C3BED"/>
    <w:rsid w:val="004C465F"/>
    <w:rsid w:val="004C6577"/>
    <w:rsid w:val="004C6811"/>
    <w:rsid w:val="004D1D5F"/>
    <w:rsid w:val="004D3059"/>
    <w:rsid w:val="004D61F5"/>
    <w:rsid w:val="004E2154"/>
    <w:rsid w:val="004E29D9"/>
    <w:rsid w:val="004E3DEE"/>
    <w:rsid w:val="004E6946"/>
    <w:rsid w:val="004F126B"/>
    <w:rsid w:val="004F1AD8"/>
    <w:rsid w:val="004F3590"/>
    <w:rsid w:val="004F3638"/>
    <w:rsid w:val="0050010A"/>
    <w:rsid w:val="005039CB"/>
    <w:rsid w:val="005048F1"/>
    <w:rsid w:val="0050558F"/>
    <w:rsid w:val="005059E9"/>
    <w:rsid w:val="00506286"/>
    <w:rsid w:val="00510813"/>
    <w:rsid w:val="00511990"/>
    <w:rsid w:val="00511DE0"/>
    <w:rsid w:val="00514870"/>
    <w:rsid w:val="00514B9B"/>
    <w:rsid w:val="0051596D"/>
    <w:rsid w:val="00517F02"/>
    <w:rsid w:val="00520ED8"/>
    <w:rsid w:val="00521C98"/>
    <w:rsid w:val="0052429F"/>
    <w:rsid w:val="00524303"/>
    <w:rsid w:val="005258A2"/>
    <w:rsid w:val="0052611D"/>
    <w:rsid w:val="00526EF7"/>
    <w:rsid w:val="005277F1"/>
    <w:rsid w:val="0052798A"/>
    <w:rsid w:val="0053248A"/>
    <w:rsid w:val="00533D71"/>
    <w:rsid w:val="0053481D"/>
    <w:rsid w:val="00534999"/>
    <w:rsid w:val="00534ED3"/>
    <w:rsid w:val="00535749"/>
    <w:rsid w:val="005359EB"/>
    <w:rsid w:val="005400CE"/>
    <w:rsid w:val="005401AE"/>
    <w:rsid w:val="00542E07"/>
    <w:rsid w:val="00545424"/>
    <w:rsid w:val="00546E79"/>
    <w:rsid w:val="00550C7E"/>
    <w:rsid w:val="0055308B"/>
    <w:rsid w:val="00553DB7"/>
    <w:rsid w:val="00554A7B"/>
    <w:rsid w:val="0055572C"/>
    <w:rsid w:val="00557556"/>
    <w:rsid w:val="0055770B"/>
    <w:rsid w:val="00560E2A"/>
    <w:rsid w:val="0056106A"/>
    <w:rsid w:val="00562B0F"/>
    <w:rsid w:val="0056316F"/>
    <w:rsid w:val="00563C0B"/>
    <w:rsid w:val="005678DC"/>
    <w:rsid w:val="005720AE"/>
    <w:rsid w:val="00575246"/>
    <w:rsid w:val="00575650"/>
    <w:rsid w:val="00575EC9"/>
    <w:rsid w:val="00581259"/>
    <w:rsid w:val="00581E2A"/>
    <w:rsid w:val="0058400D"/>
    <w:rsid w:val="00584459"/>
    <w:rsid w:val="005844B9"/>
    <w:rsid w:val="005873F7"/>
    <w:rsid w:val="00592957"/>
    <w:rsid w:val="005930D2"/>
    <w:rsid w:val="00594369"/>
    <w:rsid w:val="00594615"/>
    <w:rsid w:val="00594D77"/>
    <w:rsid w:val="005969E4"/>
    <w:rsid w:val="005A06B7"/>
    <w:rsid w:val="005A1759"/>
    <w:rsid w:val="005A1A78"/>
    <w:rsid w:val="005A6330"/>
    <w:rsid w:val="005A68A7"/>
    <w:rsid w:val="005A7830"/>
    <w:rsid w:val="005A7CFB"/>
    <w:rsid w:val="005B0CF5"/>
    <w:rsid w:val="005B3E94"/>
    <w:rsid w:val="005B490C"/>
    <w:rsid w:val="005C0711"/>
    <w:rsid w:val="005C6227"/>
    <w:rsid w:val="005D04CD"/>
    <w:rsid w:val="005D36AB"/>
    <w:rsid w:val="005D5092"/>
    <w:rsid w:val="005E03DF"/>
    <w:rsid w:val="005E1587"/>
    <w:rsid w:val="005F2779"/>
    <w:rsid w:val="005F49E0"/>
    <w:rsid w:val="005F4B35"/>
    <w:rsid w:val="005F516A"/>
    <w:rsid w:val="00601696"/>
    <w:rsid w:val="00601A5A"/>
    <w:rsid w:val="00602516"/>
    <w:rsid w:val="00604D8F"/>
    <w:rsid w:val="00605FBC"/>
    <w:rsid w:val="006151CB"/>
    <w:rsid w:val="0061725D"/>
    <w:rsid w:val="00617CC3"/>
    <w:rsid w:val="00617D1B"/>
    <w:rsid w:val="0062064F"/>
    <w:rsid w:val="006225F4"/>
    <w:rsid w:val="0063086B"/>
    <w:rsid w:val="00631941"/>
    <w:rsid w:val="00634CCC"/>
    <w:rsid w:val="006377A6"/>
    <w:rsid w:val="00637A3D"/>
    <w:rsid w:val="006411EF"/>
    <w:rsid w:val="00644670"/>
    <w:rsid w:val="006477D6"/>
    <w:rsid w:val="00650EC8"/>
    <w:rsid w:val="006522A9"/>
    <w:rsid w:val="006523FB"/>
    <w:rsid w:val="00655C83"/>
    <w:rsid w:val="0065658D"/>
    <w:rsid w:val="00656BD5"/>
    <w:rsid w:val="006624E1"/>
    <w:rsid w:val="00664310"/>
    <w:rsid w:val="00665A56"/>
    <w:rsid w:val="0067141E"/>
    <w:rsid w:val="00673360"/>
    <w:rsid w:val="00673747"/>
    <w:rsid w:val="006737C4"/>
    <w:rsid w:val="00674521"/>
    <w:rsid w:val="006748B8"/>
    <w:rsid w:val="00675941"/>
    <w:rsid w:val="00675DC4"/>
    <w:rsid w:val="006769A4"/>
    <w:rsid w:val="006775C3"/>
    <w:rsid w:val="0068146D"/>
    <w:rsid w:val="006829BC"/>
    <w:rsid w:val="00683AAD"/>
    <w:rsid w:val="00683ED3"/>
    <w:rsid w:val="00685125"/>
    <w:rsid w:val="00686B43"/>
    <w:rsid w:val="006921CB"/>
    <w:rsid w:val="0069290A"/>
    <w:rsid w:val="00693F36"/>
    <w:rsid w:val="0069775A"/>
    <w:rsid w:val="00697813"/>
    <w:rsid w:val="006A37F5"/>
    <w:rsid w:val="006A3EE8"/>
    <w:rsid w:val="006A72BF"/>
    <w:rsid w:val="006A7456"/>
    <w:rsid w:val="006B03F2"/>
    <w:rsid w:val="006B1849"/>
    <w:rsid w:val="006B2E70"/>
    <w:rsid w:val="006B37DC"/>
    <w:rsid w:val="006B4F68"/>
    <w:rsid w:val="006B750D"/>
    <w:rsid w:val="006C04E7"/>
    <w:rsid w:val="006C0592"/>
    <w:rsid w:val="006C1330"/>
    <w:rsid w:val="006C272E"/>
    <w:rsid w:val="006C2FB5"/>
    <w:rsid w:val="006C5479"/>
    <w:rsid w:val="006D13B5"/>
    <w:rsid w:val="006D161A"/>
    <w:rsid w:val="006D6769"/>
    <w:rsid w:val="006D6895"/>
    <w:rsid w:val="006D6A2F"/>
    <w:rsid w:val="006D6F4C"/>
    <w:rsid w:val="006D78EC"/>
    <w:rsid w:val="006E12FF"/>
    <w:rsid w:val="006E2A92"/>
    <w:rsid w:val="006E5CB3"/>
    <w:rsid w:val="006E5D1A"/>
    <w:rsid w:val="006E607E"/>
    <w:rsid w:val="006E69A8"/>
    <w:rsid w:val="006E6BB6"/>
    <w:rsid w:val="006E6D8E"/>
    <w:rsid w:val="006F036B"/>
    <w:rsid w:val="006F3F63"/>
    <w:rsid w:val="006F519D"/>
    <w:rsid w:val="006F6250"/>
    <w:rsid w:val="00701EB1"/>
    <w:rsid w:val="00703157"/>
    <w:rsid w:val="00703CEA"/>
    <w:rsid w:val="00703DB7"/>
    <w:rsid w:val="007068B3"/>
    <w:rsid w:val="00706C5D"/>
    <w:rsid w:val="0070746C"/>
    <w:rsid w:val="00707A57"/>
    <w:rsid w:val="00712069"/>
    <w:rsid w:val="00712954"/>
    <w:rsid w:val="00716068"/>
    <w:rsid w:val="00721E89"/>
    <w:rsid w:val="00723D20"/>
    <w:rsid w:val="00723D4C"/>
    <w:rsid w:val="00725AE8"/>
    <w:rsid w:val="00726509"/>
    <w:rsid w:val="007313DD"/>
    <w:rsid w:val="00732922"/>
    <w:rsid w:val="00733C62"/>
    <w:rsid w:val="007345B4"/>
    <w:rsid w:val="00737DC4"/>
    <w:rsid w:val="00747BEE"/>
    <w:rsid w:val="0075162E"/>
    <w:rsid w:val="00754034"/>
    <w:rsid w:val="007544BC"/>
    <w:rsid w:val="00756556"/>
    <w:rsid w:val="00756A98"/>
    <w:rsid w:val="00757BA7"/>
    <w:rsid w:val="007605E8"/>
    <w:rsid w:val="00760A39"/>
    <w:rsid w:val="00760E27"/>
    <w:rsid w:val="007618C4"/>
    <w:rsid w:val="0076339A"/>
    <w:rsid w:val="00767980"/>
    <w:rsid w:val="00770B19"/>
    <w:rsid w:val="00771F17"/>
    <w:rsid w:val="0077463F"/>
    <w:rsid w:val="007749C7"/>
    <w:rsid w:val="00775983"/>
    <w:rsid w:val="00776D2D"/>
    <w:rsid w:val="00777B3F"/>
    <w:rsid w:val="007835AD"/>
    <w:rsid w:val="007836EA"/>
    <w:rsid w:val="00784CDA"/>
    <w:rsid w:val="00787A7F"/>
    <w:rsid w:val="007906C4"/>
    <w:rsid w:val="00790AE2"/>
    <w:rsid w:val="007918D3"/>
    <w:rsid w:val="00791C63"/>
    <w:rsid w:val="00793340"/>
    <w:rsid w:val="00793CF2"/>
    <w:rsid w:val="007940EA"/>
    <w:rsid w:val="007967E8"/>
    <w:rsid w:val="00796F21"/>
    <w:rsid w:val="007A2170"/>
    <w:rsid w:val="007A22BF"/>
    <w:rsid w:val="007A2D1E"/>
    <w:rsid w:val="007A3323"/>
    <w:rsid w:val="007A3428"/>
    <w:rsid w:val="007A5CBC"/>
    <w:rsid w:val="007A6559"/>
    <w:rsid w:val="007B0B1C"/>
    <w:rsid w:val="007B1438"/>
    <w:rsid w:val="007B72B8"/>
    <w:rsid w:val="007B7A58"/>
    <w:rsid w:val="007C0696"/>
    <w:rsid w:val="007C0785"/>
    <w:rsid w:val="007C21B5"/>
    <w:rsid w:val="007C2ABB"/>
    <w:rsid w:val="007C3BA4"/>
    <w:rsid w:val="007D0286"/>
    <w:rsid w:val="007D0AC3"/>
    <w:rsid w:val="007D191E"/>
    <w:rsid w:val="007D34CB"/>
    <w:rsid w:val="007D5D4F"/>
    <w:rsid w:val="007D7D0E"/>
    <w:rsid w:val="007D7F1C"/>
    <w:rsid w:val="007E0156"/>
    <w:rsid w:val="007E09D1"/>
    <w:rsid w:val="007E3996"/>
    <w:rsid w:val="007E4BD2"/>
    <w:rsid w:val="007E51A7"/>
    <w:rsid w:val="007E63B3"/>
    <w:rsid w:val="007F0D18"/>
    <w:rsid w:val="007F15E2"/>
    <w:rsid w:val="007F214E"/>
    <w:rsid w:val="00801393"/>
    <w:rsid w:val="00802630"/>
    <w:rsid w:val="008026D8"/>
    <w:rsid w:val="00802F88"/>
    <w:rsid w:val="00803095"/>
    <w:rsid w:val="0080440A"/>
    <w:rsid w:val="00804693"/>
    <w:rsid w:val="00811852"/>
    <w:rsid w:val="0081293E"/>
    <w:rsid w:val="00815009"/>
    <w:rsid w:val="00815465"/>
    <w:rsid w:val="00817E9A"/>
    <w:rsid w:val="00820A26"/>
    <w:rsid w:val="008221AD"/>
    <w:rsid w:val="00827CEC"/>
    <w:rsid w:val="008306BD"/>
    <w:rsid w:val="00831A80"/>
    <w:rsid w:val="00833743"/>
    <w:rsid w:val="008340A4"/>
    <w:rsid w:val="00834D0D"/>
    <w:rsid w:val="00834FAF"/>
    <w:rsid w:val="008372F6"/>
    <w:rsid w:val="00840B8A"/>
    <w:rsid w:val="00844604"/>
    <w:rsid w:val="00845B35"/>
    <w:rsid w:val="008525E8"/>
    <w:rsid w:val="00852CA6"/>
    <w:rsid w:val="0085451F"/>
    <w:rsid w:val="00857422"/>
    <w:rsid w:val="0085782F"/>
    <w:rsid w:val="00861569"/>
    <w:rsid w:val="008624EE"/>
    <w:rsid w:val="00862DA8"/>
    <w:rsid w:val="008636C4"/>
    <w:rsid w:val="0086384C"/>
    <w:rsid w:val="00867222"/>
    <w:rsid w:val="0087043C"/>
    <w:rsid w:val="0087073C"/>
    <w:rsid w:val="0087135F"/>
    <w:rsid w:val="00872D94"/>
    <w:rsid w:val="00875D3A"/>
    <w:rsid w:val="00876348"/>
    <w:rsid w:val="008769D4"/>
    <w:rsid w:val="00880364"/>
    <w:rsid w:val="00881DE1"/>
    <w:rsid w:val="00887B44"/>
    <w:rsid w:val="00890651"/>
    <w:rsid w:val="00891592"/>
    <w:rsid w:val="00891E9E"/>
    <w:rsid w:val="00895015"/>
    <w:rsid w:val="00896794"/>
    <w:rsid w:val="00897EE6"/>
    <w:rsid w:val="008A17D0"/>
    <w:rsid w:val="008A21A4"/>
    <w:rsid w:val="008A28B4"/>
    <w:rsid w:val="008A2F68"/>
    <w:rsid w:val="008A40B9"/>
    <w:rsid w:val="008A4362"/>
    <w:rsid w:val="008A5A8E"/>
    <w:rsid w:val="008B21B3"/>
    <w:rsid w:val="008B25DC"/>
    <w:rsid w:val="008B4FA6"/>
    <w:rsid w:val="008B5282"/>
    <w:rsid w:val="008B533A"/>
    <w:rsid w:val="008B7C17"/>
    <w:rsid w:val="008C2D01"/>
    <w:rsid w:val="008C40E6"/>
    <w:rsid w:val="008C4322"/>
    <w:rsid w:val="008C435B"/>
    <w:rsid w:val="008C7172"/>
    <w:rsid w:val="008C7D7E"/>
    <w:rsid w:val="008D0F7A"/>
    <w:rsid w:val="008D193B"/>
    <w:rsid w:val="008D20CF"/>
    <w:rsid w:val="008D3960"/>
    <w:rsid w:val="008D5B3F"/>
    <w:rsid w:val="008D5DF4"/>
    <w:rsid w:val="008D5E61"/>
    <w:rsid w:val="008D68E4"/>
    <w:rsid w:val="008D7120"/>
    <w:rsid w:val="008D7AED"/>
    <w:rsid w:val="008E02AF"/>
    <w:rsid w:val="008E0506"/>
    <w:rsid w:val="008E0CFF"/>
    <w:rsid w:val="008E0E03"/>
    <w:rsid w:val="008E2581"/>
    <w:rsid w:val="008E38C5"/>
    <w:rsid w:val="008E4CA7"/>
    <w:rsid w:val="008E5D6B"/>
    <w:rsid w:val="008E647D"/>
    <w:rsid w:val="008E6FBF"/>
    <w:rsid w:val="008E76F0"/>
    <w:rsid w:val="008F053E"/>
    <w:rsid w:val="008F15FE"/>
    <w:rsid w:val="008F2D29"/>
    <w:rsid w:val="008F2EB6"/>
    <w:rsid w:val="008F477C"/>
    <w:rsid w:val="008F5187"/>
    <w:rsid w:val="008F60D8"/>
    <w:rsid w:val="008F6E66"/>
    <w:rsid w:val="008F71D7"/>
    <w:rsid w:val="009019B4"/>
    <w:rsid w:val="00902727"/>
    <w:rsid w:val="0090312B"/>
    <w:rsid w:val="009044D6"/>
    <w:rsid w:val="00904B20"/>
    <w:rsid w:val="009057DF"/>
    <w:rsid w:val="009131BA"/>
    <w:rsid w:val="0091324B"/>
    <w:rsid w:val="009138A9"/>
    <w:rsid w:val="00914C33"/>
    <w:rsid w:val="00915DE8"/>
    <w:rsid w:val="009165CA"/>
    <w:rsid w:val="00916A07"/>
    <w:rsid w:val="00916BA9"/>
    <w:rsid w:val="0091736D"/>
    <w:rsid w:val="00917C1C"/>
    <w:rsid w:val="00920692"/>
    <w:rsid w:val="00920C60"/>
    <w:rsid w:val="00923C1F"/>
    <w:rsid w:val="00925B2C"/>
    <w:rsid w:val="00926089"/>
    <w:rsid w:val="0093037A"/>
    <w:rsid w:val="00930DBC"/>
    <w:rsid w:val="0093189F"/>
    <w:rsid w:val="00931DF5"/>
    <w:rsid w:val="00933C8F"/>
    <w:rsid w:val="00934921"/>
    <w:rsid w:val="009362C3"/>
    <w:rsid w:val="0093762D"/>
    <w:rsid w:val="00940F2D"/>
    <w:rsid w:val="0094154D"/>
    <w:rsid w:val="00942CEA"/>
    <w:rsid w:val="009439ED"/>
    <w:rsid w:val="009441C0"/>
    <w:rsid w:val="00946CF9"/>
    <w:rsid w:val="0095077B"/>
    <w:rsid w:val="0095155F"/>
    <w:rsid w:val="00951B0B"/>
    <w:rsid w:val="00952DB4"/>
    <w:rsid w:val="00954429"/>
    <w:rsid w:val="00955F10"/>
    <w:rsid w:val="009563CE"/>
    <w:rsid w:val="00962123"/>
    <w:rsid w:val="00964B2A"/>
    <w:rsid w:val="00965C9D"/>
    <w:rsid w:val="00966D45"/>
    <w:rsid w:val="00971EB2"/>
    <w:rsid w:val="009750BA"/>
    <w:rsid w:val="00976328"/>
    <w:rsid w:val="0097680D"/>
    <w:rsid w:val="009774FB"/>
    <w:rsid w:val="0098032E"/>
    <w:rsid w:val="00982135"/>
    <w:rsid w:val="009821A0"/>
    <w:rsid w:val="00982438"/>
    <w:rsid w:val="00982824"/>
    <w:rsid w:val="0098404C"/>
    <w:rsid w:val="00985283"/>
    <w:rsid w:val="00985908"/>
    <w:rsid w:val="0099238E"/>
    <w:rsid w:val="00993B9B"/>
    <w:rsid w:val="00993BF0"/>
    <w:rsid w:val="00994CCF"/>
    <w:rsid w:val="00995992"/>
    <w:rsid w:val="009A03E5"/>
    <w:rsid w:val="009A0F3B"/>
    <w:rsid w:val="009A1194"/>
    <w:rsid w:val="009A1BB4"/>
    <w:rsid w:val="009A2628"/>
    <w:rsid w:val="009A3200"/>
    <w:rsid w:val="009A6A25"/>
    <w:rsid w:val="009A6F97"/>
    <w:rsid w:val="009B02A5"/>
    <w:rsid w:val="009B0560"/>
    <w:rsid w:val="009B0897"/>
    <w:rsid w:val="009B2201"/>
    <w:rsid w:val="009B32ED"/>
    <w:rsid w:val="009B4D31"/>
    <w:rsid w:val="009B5DED"/>
    <w:rsid w:val="009B793B"/>
    <w:rsid w:val="009B7BD9"/>
    <w:rsid w:val="009B7EF9"/>
    <w:rsid w:val="009C17B9"/>
    <w:rsid w:val="009C2297"/>
    <w:rsid w:val="009C255B"/>
    <w:rsid w:val="009C2B1B"/>
    <w:rsid w:val="009C46DA"/>
    <w:rsid w:val="009C7DD5"/>
    <w:rsid w:val="009D2151"/>
    <w:rsid w:val="009D295D"/>
    <w:rsid w:val="009D42AD"/>
    <w:rsid w:val="009D47B3"/>
    <w:rsid w:val="009D59A4"/>
    <w:rsid w:val="009E011C"/>
    <w:rsid w:val="009E0D85"/>
    <w:rsid w:val="009E227D"/>
    <w:rsid w:val="009E2DD6"/>
    <w:rsid w:val="009E5019"/>
    <w:rsid w:val="009E5716"/>
    <w:rsid w:val="009E70F3"/>
    <w:rsid w:val="009F456E"/>
    <w:rsid w:val="009F4588"/>
    <w:rsid w:val="00A01942"/>
    <w:rsid w:val="00A04F1B"/>
    <w:rsid w:val="00A0501B"/>
    <w:rsid w:val="00A066E8"/>
    <w:rsid w:val="00A071E0"/>
    <w:rsid w:val="00A07951"/>
    <w:rsid w:val="00A102D2"/>
    <w:rsid w:val="00A113F0"/>
    <w:rsid w:val="00A12977"/>
    <w:rsid w:val="00A133E9"/>
    <w:rsid w:val="00A13506"/>
    <w:rsid w:val="00A14947"/>
    <w:rsid w:val="00A168A7"/>
    <w:rsid w:val="00A169A4"/>
    <w:rsid w:val="00A17D8B"/>
    <w:rsid w:val="00A203B6"/>
    <w:rsid w:val="00A24099"/>
    <w:rsid w:val="00A259FB"/>
    <w:rsid w:val="00A26932"/>
    <w:rsid w:val="00A27689"/>
    <w:rsid w:val="00A32A83"/>
    <w:rsid w:val="00A33186"/>
    <w:rsid w:val="00A368DB"/>
    <w:rsid w:val="00A4071A"/>
    <w:rsid w:val="00A423AA"/>
    <w:rsid w:val="00A4272C"/>
    <w:rsid w:val="00A42B74"/>
    <w:rsid w:val="00A47581"/>
    <w:rsid w:val="00A47B64"/>
    <w:rsid w:val="00A53EC6"/>
    <w:rsid w:val="00A54648"/>
    <w:rsid w:val="00A54BF4"/>
    <w:rsid w:val="00A55C0F"/>
    <w:rsid w:val="00A6377D"/>
    <w:rsid w:val="00A64E18"/>
    <w:rsid w:val="00A65A8C"/>
    <w:rsid w:val="00A71165"/>
    <w:rsid w:val="00A71699"/>
    <w:rsid w:val="00A71764"/>
    <w:rsid w:val="00A74181"/>
    <w:rsid w:val="00A75275"/>
    <w:rsid w:val="00A7595D"/>
    <w:rsid w:val="00A77D34"/>
    <w:rsid w:val="00A81A05"/>
    <w:rsid w:val="00A82A82"/>
    <w:rsid w:val="00A832C2"/>
    <w:rsid w:val="00A832EA"/>
    <w:rsid w:val="00A83A9E"/>
    <w:rsid w:val="00A85AE3"/>
    <w:rsid w:val="00A8713F"/>
    <w:rsid w:val="00A90BA1"/>
    <w:rsid w:val="00A91198"/>
    <w:rsid w:val="00A92212"/>
    <w:rsid w:val="00A922F4"/>
    <w:rsid w:val="00A940B6"/>
    <w:rsid w:val="00A9554F"/>
    <w:rsid w:val="00A97A9A"/>
    <w:rsid w:val="00AA0671"/>
    <w:rsid w:val="00AA1F09"/>
    <w:rsid w:val="00AA2531"/>
    <w:rsid w:val="00AA5075"/>
    <w:rsid w:val="00AA53F3"/>
    <w:rsid w:val="00AA55E3"/>
    <w:rsid w:val="00AA5F7E"/>
    <w:rsid w:val="00AA7530"/>
    <w:rsid w:val="00AB1E09"/>
    <w:rsid w:val="00AB4532"/>
    <w:rsid w:val="00AB4DE5"/>
    <w:rsid w:val="00AB4F89"/>
    <w:rsid w:val="00AB5330"/>
    <w:rsid w:val="00AB6F86"/>
    <w:rsid w:val="00AB7747"/>
    <w:rsid w:val="00AC14CE"/>
    <w:rsid w:val="00AC278B"/>
    <w:rsid w:val="00AC27AC"/>
    <w:rsid w:val="00AC2A56"/>
    <w:rsid w:val="00AC4BEF"/>
    <w:rsid w:val="00AC4C57"/>
    <w:rsid w:val="00AC6138"/>
    <w:rsid w:val="00AD055E"/>
    <w:rsid w:val="00AD0F73"/>
    <w:rsid w:val="00AD47A7"/>
    <w:rsid w:val="00AD6327"/>
    <w:rsid w:val="00AD6D9B"/>
    <w:rsid w:val="00AD7123"/>
    <w:rsid w:val="00AD77C5"/>
    <w:rsid w:val="00AE136C"/>
    <w:rsid w:val="00AE1437"/>
    <w:rsid w:val="00AE6A0D"/>
    <w:rsid w:val="00AF05EA"/>
    <w:rsid w:val="00AF0CBF"/>
    <w:rsid w:val="00AF257F"/>
    <w:rsid w:val="00AF2D3F"/>
    <w:rsid w:val="00AF33CF"/>
    <w:rsid w:val="00AF3C62"/>
    <w:rsid w:val="00AF4D50"/>
    <w:rsid w:val="00AF6179"/>
    <w:rsid w:val="00AF62B5"/>
    <w:rsid w:val="00AF64A0"/>
    <w:rsid w:val="00AF7720"/>
    <w:rsid w:val="00B01420"/>
    <w:rsid w:val="00B11C41"/>
    <w:rsid w:val="00B1295A"/>
    <w:rsid w:val="00B12A72"/>
    <w:rsid w:val="00B133A5"/>
    <w:rsid w:val="00B15AF9"/>
    <w:rsid w:val="00B15B28"/>
    <w:rsid w:val="00B17048"/>
    <w:rsid w:val="00B20A45"/>
    <w:rsid w:val="00B21141"/>
    <w:rsid w:val="00B22C5C"/>
    <w:rsid w:val="00B23D95"/>
    <w:rsid w:val="00B24F30"/>
    <w:rsid w:val="00B2563D"/>
    <w:rsid w:val="00B25ED9"/>
    <w:rsid w:val="00B30DDF"/>
    <w:rsid w:val="00B31ABF"/>
    <w:rsid w:val="00B31C10"/>
    <w:rsid w:val="00B33BE3"/>
    <w:rsid w:val="00B37DE4"/>
    <w:rsid w:val="00B42CD6"/>
    <w:rsid w:val="00B43705"/>
    <w:rsid w:val="00B43A22"/>
    <w:rsid w:val="00B47344"/>
    <w:rsid w:val="00B529BF"/>
    <w:rsid w:val="00B53B5D"/>
    <w:rsid w:val="00B552DB"/>
    <w:rsid w:val="00B56AFB"/>
    <w:rsid w:val="00B56FFF"/>
    <w:rsid w:val="00B6055E"/>
    <w:rsid w:val="00B61275"/>
    <w:rsid w:val="00B61B4A"/>
    <w:rsid w:val="00B62E42"/>
    <w:rsid w:val="00B6317D"/>
    <w:rsid w:val="00B65526"/>
    <w:rsid w:val="00B7119D"/>
    <w:rsid w:val="00B71CE0"/>
    <w:rsid w:val="00B72730"/>
    <w:rsid w:val="00B76637"/>
    <w:rsid w:val="00B76A04"/>
    <w:rsid w:val="00B7723F"/>
    <w:rsid w:val="00B80534"/>
    <w:rsid w:val="00B80A25"/>
    <w:rsid w:val="00B82DD6"/>
    <w:rsid w:val="00B8433C"/>
    <w:rsid w:val="00B84592"/>
    <w:rsid w:val="00B87491"/>
    <w:rsid w:val="00B87652"/>
    <w:rsid w:val="00B876E8"/>
    <w:rsid w:val="00B939AF"/>
    <w:rsid w:val="00BA126D"/>
    <w:rsid w:val="00BA1D8F"/>
    <w:rsid w:val="00BA29E9"/>
    <w:rsid w:val="00BA5793"/>
    <w:rsid w:val="00BA61D7"/>
    <w:rsid w:val="00BA7142"/>
    <w:rsid w:val="00BA72E1"/>
    <w:rsid w:val="00BB0DE3"/>
    <w:rsid w:val="00BB0DE9"/>
    <w:rsid w:val="00BB237C"/>
    <w:rsid w:val="00BB2593"/>
    <w:rsid w:val="00BB41A3"/>
    <w:rsid w:val="00BB43D0"/>
    <w:rsid w:val="00BB7C7F"/>
    <w:rsid w:val="00BC0232"/>
    <w:rsid w:val="00BC0961"/>
    <w:rsid w:val="00BC32DC"/>
    <w:rsid w:val="00BC35B6"/>
    <w:rsid w:val="00BC3B8E"/>
    <w:rsid w:val="00BC5A30"/>
    <w:rsid w:val="00BC5F7E"/>
    <w:rsid w:val="00BC72A6"/>
    <w:rsid w:val="00BD1B51"/>
    <w:rsid w:val="00BD4596"/>
    <w:rsid w:val="00BD76CE"/>
    <w:rsid w:val="00BD7995"/>
    <w:rsid w:val="00BE0452"/>
    <w:rsid w:val="00BE1405"/>
    <w:rsid w:val="00BE1617"/>
    <w:rsid w:val="00BE21C0"/>
    <w:rsid w:val="00BE312D"/>
    <w:rsid w:val="00BE7261"/>
    <w:rsid w:val="00BF1C20"/>
    <w:rsid w:val="00BF3F16"/>
    <w:rsid w:val="00BF477D"/>
    <w:rsid w:val="00BF6F5C"/>
    <w:rsid w:val="00BF7522"/>
    <w:rsid w:val="00C019B6"/>
    <w:rsid w:val="00C03394"/>
    <w:rsid w:val="00C067CA"/>
    <w:rsid w:val="00C10578"/>
    <w:rsid w:val="00C10C18"/>
    <w:rsid w:val="00C10D56"/>
    <w:rsid w:val="00C13388"/>
    <w:rsid w:val="00C135BC"/>
    <w:rsid w:val="00C14F01"/>
    <w:rsid w:val="00C15A3D"/>
    <w:rsid w:val="00C15AB7"/>
    <w:rsid w:val="00C15C95"/>
    <w:rsid w:val="00C167C6"/>
    <w:rsid w:val="00C16828"/>
    <w:rsid w:val="00C20588"/>
    <w:rsid w:val="00C2596A"/>
    <w:rsid w:val="00C27537"/>
    <w:rsid w:val="00C30FE1"/>
    <w:rsid w:val="00C31C7B"/>
    <w:rsid w:val="00C328FE"/>
    <w:rsid w:val="00C33507"/>
    <w:rsid w:val="00C34F12"/>
    <w:rsid w:val="00C36233"/>
    <w:rsid w:val="00C377CD"/>
    <w:rsid w:val="00C408C7"/>
    <w:rsid w:val="00C40B2D"/>
    <w:rsid w:val="00C42944"/>
    <w:rsid w:val="00C42C89"/>
    <w:rsid w:val="00C4409D"/>
    <w:rsid w:val="00C449FC"/>
    <w:rsid w:val="00C44E72"/>
    <w:rsid w:val="00C45A06"/>
    <w:rsid w:val="00C47E5B"/>
    <w:rsid w:val="00C502FF"/>
    <w:rsid w:val="00C5110E"/>
    <w:rsid w:val="00C5165A"/>
    <w:rsid w:val="00C519A2"/>
    <w:rsid w:val="00C53712"/>
    <w:rsid w:val="00C53E58"/>
    <w:rsid w:val="00C54C24"/>
    <w:rsid w:val="00C54D3E"/>
    <w:rsid w:val="00C619B5"/>
    <w:rsid w:val="00C61E4B"/>
    <w:rsid w:val="00C64BFF"/>
    <w:rsid w:val="00C65B82"/>
    <w:rsid w:val="00C664FA"/>
    <w:rsid w:val="00C704E9"/>
    <w:rsid w:val="00C70BCD"/>
    <w:rsid w:val="00C71408"/>
    <w:rsid w:val="00C72162"/>
    <w:rsid w:val="00C72EBB"/>
    <w:rsid w:val="00C763C9"/>
    <w:rsid w:val="00C80057"/>
    <w:rsid w:val="00C82232"/>
    <w:rsid w:val="00C82913"/>
    <w:rsid w:val="00C85A2C"/>
    <w:rsid w:val="00C872A8"/>
    <w:rsid w:val="00C916AD"/>
    <w:rsid w:val="00C96401"/>
    <w:rsid w:val="00C972B1"/>
    <w:rsid w:val="00CA2CCE"/>
    <w:rsid w:val="00CA3061"/>
    <w:rsid w:val="00CA3F7B"/>
    <w:rsid w:val="00CA43FD"/>
    <w:rsid w:val="00CA57C4"/>
    <w:rsid w:val="00CA7EF8"/>
    <w:rsid w:val="00CB14D4"/>
    <w:rsid w:val="00CB3426"/>
    <w:rsid w:val="00CB47AD"/>
    <w:rsid w:val="00CB4F7E"/>
    <w:rsid w:val="00CB6DEF"/>
    <w:rsid w:val="00CB6E29"/>
    <w:rsid w:val="00CB7CE0"/>
    <w:rsid w:val="00CC0527"/>
    <w:rsid w:val="00CC275F"/>
    <w:rsid w:val="00CC489B"/>
    <w:rsid w:val="00CC6395"/>
    <w:rsid w:val="00CC65EC"/>
    <w:rsid w:val="00CD0204"/>
    <w:rsid w:val="00CD02D9"/>
    <w:rsid w:val="00CD2BCD"/>
    <w:rsid w:val="00CD3A4C"/>
    <w:rsid w:val="00CD3FC7"/>
    <w:rsid w:val="00CD6193"/>
    <w:rsid w:val="00CD65CC"/>
    <w:rsid w:val="00CE0C19"/>
    <w:rsid w:val="00CE0E95"/>
    <w:rsid w:val="00CE10E9"/>
    <w:rsid w:val="00CE14A7"/>
    <w:rsid w:val="00CE1C25"/>
    <w:rsid w:val="00CE2910"/>
    <w:rsid w:val="00CE40DB"/>
    <w:rsid w:val="00CE5393"/>
    <w:rsid w:val="00CF0F75"/>
    <w:rsid w:val="00CF226F"/>
    <w:rsid w:val="00CF36BE"/>
    <w:rsid w:val="00CF6000"/>
    <w:rsid w:val="00D003F3"/>
    <w:rsid w:val="00D0364F"/>
    <w:rsid w:val="00D06096"/>
    <w:rsid w:val="00D06658"/>
    <w:rsid w:val="00D06834"/>
    <w:rsid w:val="00D07977"/>
    <w:rsid w:val="00D13005"/>
    <w:rsid w:val="00D13CD8"/>
    <w:rsid w:val="00D16949"/>
    <w:rsid w:val="00D16CBA"/>
    <w:rsid w:val="00D25788"/>
    <w:rsid w:val="00D26433"/>
    <w:rsid w:val="00D308ED"/>
    <w:rsid w:val="00D33F70"/>
    <w:rsid w:val="00D35289"/>
    <w:rsid w:val="00D36676"/>
    <w:rsid w:val="00D36D86"/>
    <w:rsid w:val="00D428AA"/>
    <w:rsid w:val="00D4784F"/>
    <w:rsid w:val="00D47ECE"/>
    <w:rsid w:val="00D500CA"/>
    <w:rsid w:val="00D505EA"/>
    <w:rsid w:val="00D50A34"/>
    <w:rsid w:val="00D527CF"/>
    <w:rsid w:val="00D53A40"/>
    <w:rsid w:val="00D53EFA"/>
    <w:rsid w:val="00D55F1D"/>
    <w:rsid w:val="00D61043"/>
    <w:rsid w:val="00D61B76"/>
    <w:rsid w:val="00D654EE"/>
    <w:rsid w:val="00D7084A"/>
    <w:rsid w:val="00D71206"/>
    <w:rsid w:val="00D7246C"/>
    <w:rsid w:val="00D81747"/>
    <w:rsid w:val="00D86E80"/>
    <w:rsid w:val="00D90A0D"/>
    <w:rsid w:val="00D94A7C"/>
    <w:rsid w:val="00D9583B"/>
    <w:rsid w:val="00D95896"/>
    <w:rsid w:val="00D964F3"/>
    <w:rsid w:val="00D96A5A"/>
    <w:rsid w:val="00DA4B9B"/>
    <w:rsid w:val="00DA6318"/>
    <w:rsid w:val="00DB1D3C"/>
    <w:rsid w:val="00DB2444"/>
    <w:rsid w:val="00DB2983"/>
    <w:rsid w:val="00DB4877"/>
    <w:rsid w:val="00DB55D4"/>
    <w:rsid w:val="00DB5F72"/>
    <w:rsid w:val="00DC1257"/>
    <w:rsid w:val="00DC2DEE"/>
    <w:rsid w:val="00DC36F3"/>
    <w:rsid w:val="00DC3D40"/>
    <w:rsid w:val="00DC3DC0"/>
    <w:rsid w:val="00DC48AB"/>
    <w:rsid w:val="00DC5620"/>
    <w:rsid w:val="00DC5B2B"/>
    <w:rsid w:val="00DC6599"/>
    <w:rsid w:val="00DC6E32"/>
    <w:rsid w:val="00DC7236"/>
    <w:rsid w:val="00DC7460"/>
    <w:rsid w:val="00DD274C"/>
    <w:rsid w:val="00DD318D"/>
    <w:rsid w:val="00DD50A7"/>
    <w:rsid w:val="00DD580B"/>
    <w:rsid w:val="00DD5A0D"/>
    <w:rsid w:val="00DE6DE1"/>
    <w:rsid w:val="00DE6F70"/>
    <w:rsid w:val="00DF2B50"/>
    <w:rsid w:val="00DF2E12"/>
    <w:rsid w:val="00DF303E"/>
    <w:rsid w:val="00DF37DC"/>
    <w:rsid w:val="00DF490D"/>
    <w:rsid w:val="00DF514A"/>
    <w:rsid w:val="00DF6690"/>
    <w:rsid w:val="00DF6804"/>
    <w:rsid w:val="00E0190A"/>
    <w:rsid w:val="00E0358D"/>
    <w:rsid w:val="00E04323"/>
    <w:rsid w:val="00E070A2"/>
    <w:rsid w:val="00E11F2B"/>
    <w:rsid w:val="00E122E8"/>
    <w:rsid w:val="00E14AA0"/>
    <w:rsid w:val="00E155DE"/>
    <w:rsid w:val="00E178CE"/>
    <w:rsid w:val="00E22B34"/>
    <w:rsid w:val="00E2656A"/>
    <w:rsid w:val="00E27D96"/>
    <w:rsid w:val="00E3382F"/>
    <w:rsid w:val="00E34394"/>
    <w:rsid w:val="00E355F8"/>
    <w:rsid w:val="00E4014A"/>
    <w:rsid w:val="00E40EFE"/>
    <w:rsid w:val="00E412D0"/>
    <w:rsid w:val="00E42A45"/>
    <w:rsid w:val="00E448EC"/>
    <w:rsid w:val="00E462BF"/>
    <w:rsid w:val="00E462EC"/>
    <w:rsid w:val="00E50FC3"/>
    <w:rsid w:val="00E50FD5"/>
    <w:rsid w:val="00E51401"/>
    <w:rsid w:val="00E53641"/>
    <w:rsid w:val="00E53F4D"/>
    <w:rsid w:val="00E541FC"/>
    <w:rsid w:val="00E5448D"/>
    <w:rsid w:val="00E56322"/>
    <w:rsid w:val="00E60982"/>
    <w:rsid w:val="00E61E8E"/>
    <w:rsid w:val="00E62C62"/>
    <w:rsid w:val="00E636F2"/>
    <w:rsid w:val="00E654C1"/>
    <w:rsid w:val="00E65D97"/>
    <w:rsid w:val="00E679D7"/>
    <w:rsid w:val="00E72A5A"/>
    <w:rsid w:val="00E73354"/>
    <w:rsid w:val="00E737CD"/>
    <w:rsid w:val="00E75E67"/>
    <w:rsid w:val="00E8575F"/>
    <w:rsid w:val="00E85CB8"/>
    <w:rsid w:val="00E90702"/>
    <w:rsid w:val="00E912F6"/>
    <w:rsid w:val="00E9242D"/>
    <w:rsid w:val="00E926DC"/>
    <w:rsid w:val="00EA0A2C"/>
    <w:rsid w:val="00EA0B0F"/>
    <w:rsid w:val="00EA23EB"/>
    <w:rsid w:val="00EA2946"/>
    <w:rsid w:val="00EA29C9"/>
    <w:rsid w:val="00EA5121"/>
    <w:rsid w:val="00EB021B"/>
    <w:rsid w:val="00EB2852"/>
    <w:rsid w:val="00EB2BD3"/>
    <w:rsid w:val="00EB3146"/>
    <w:rsid w:val="00EB4A07"/>
    <w:rsid w:val="00EB4B22"/>
    <w:rsid w:val="00EB5255"/>
    <w:rsid w:val="00EB5C47"/>
    <w:rsid w:val="00EC129C"/>
    <w:rsid w:val="00EC200C"/>
    <w:rsid w:val="00EC5380"/>
    <w:rsid w:val="00EC5FDF"/>
    <w:rsid w:val="00EC688F"/>
    <w:rsid w:val="00EC7C7B"/>
    <w:rsid w:val="00ED0639"/>
    <w:rsid w:val="00ED1F90"/>
    <w:rsid w:val="00ED3C05"/>
    <w:rsid w:val="00ED5C6E"/>
    <w:rsid w:val="00EE04BB"/>
    <w:rsid w:val="00EE0686"/>
    <w:rsid w:val="00EE12A9"/>
    <w:rsid w:val="00EE3275"/>
    <w:rsid w:val="00EE5693"/>
    <w:rsid w:val="00EF054E"/>
    <w:rsid w:val="00EF13CA"/>
    <w:rsid w:val="00EF4755"/>
    <w:rsid w:val="00EF5BCC"/>
    <w:rsid w:val="00EF7135"/>
    <w:rsid w:val="00EF75A0"/>
    <w:rsid w:val="00EF7754"/>
    <w:rsid w:val="00F00ACD"/>
    <w:rsid w:val="00F0142C"/>
    <w:rsid w:val="00F027DB"/>
    <w:rsid w:val="00F03A9E"/>
    <w:rsid w:val="00F05014"/>
    <w:rsid w:val="00F06031"/>
    <w:rsid w:val="00F07549"/>
    <w:rsid w:val="00F14A7A"/>
    <w:rsid w:val="00F15DD0"/>
    <w:rsid w:val="00F16F51"/>
    <w:rsid w:val="00F216E5"/>
    <w:rsid w:val="00F22628"/>
    <w:rsid w:val="00F22985"/>
    <w:rsid w:val="00F24170"/>
    <w:rsid w:val="00F24586"/>
    <w:rsid w:val="00F250AB"/>
    <w:rsid w:val="00F2558E"/>
    <w:rsid w:val="00F25D43"/>
    <w:rsid w:val="00F25F68"/>
    <w:rsid w:val="00F30257"/>
    <w:rsid w:val="00F3138F"/>
    <w:rsid w:val="00F325AE"/>
    <w:rsid w:val="00F3383E"/>
    <w:rsid w:val="00F342BA"/>
    <w:rsid w:val="00F37CE1"/>
    <w:rsid w:val="00F431DC"/>
    <w:rsid w:val="00F465A7"/>
    <w:rsid w:val="00F50B7C"/>
    <w:rsid w:val="00F542B6"/>
    <w:rsid w:val="00F550E6"/>
    <w:rsid w:val="00F55D4C"/>
    <w:rsid w:val="00F575D7"/>
    <w:rsid w:val="00F66FCE"/>
    <w:rsid w:val="00F7390E"/>
    <w:rsid w:val="00F73FBE"/>
    <w:rsid w:val="00F74345"/>
    <w:rsid w:val="00F7455A"/>
    <w:rsid w:val="00F76D0D"/>
    <w:rsid w:val="00F7784E"/>
    <w:rsid w:val="00F77FA5"/>
    <w:rsid w:val="00F80A0A"/>
    <w:rsid w:val="00F815FD"/>
    <w:rsid w:val="00F82B19"/>
    <w:rsid w:val="00F83DCB"/>
    <w:rsid w:val="00F9212D"/>
    <w:rsid w:val="00F93484"/>
    <w:rsid w:val="00F9361C"/>
    <w:rsid w:val="00F941B2"/>
    <w:rsid w:val="00F94D9F"/>
    <w:rsid w:val="00F965DA"/>
    <w:rsid w:val="00FA0DD4"/>
    <w:rsid w:val="00FA10E7"/>
    <w:rsid w:val="00FA1A6C"/>
    <w:rsid w:val="00FA30AD"/>
    <w:rsid w:val="00FA406A"/>
    <w:rsid w:val="00FA6474"/>
    <w:rsid w:val="00FB3B71"/>
    <w:rsid w:val="00FB4274"/>
    <w:rsid w:val="00FB503A"/>
    <w:rsid w:val="00FB516C"/>
    <w:rsid w:val="00FC478A"/>
    <w:rsid w:val="00FC581C"/>
    <w:rsid w:val="00FC6456"/>
    <w:rsid w:val="00FC77B9"/>
    <w:rsid w:val="00FD0236"/>
    <w:rsid w:val="00FD0397"/>
    <w:rsid w:val="00FD09E5"/>
    <w:rsid w:val="00FD1308"/>
    <w:rsid w:val="00FD18F4"/>
    <w:rsid w:val="00FD1F35"/>
    <w:rsid w:val="00FD54DB"/>
    <w:rsid w:val="00FD616A"/>
    <w:rsid w:val="00FD619F"/>
    <w:rsid w:val="00FE265F"/>
    <w:rsid w:val="00FE28C4"/>
    <w:rsid w:val="00FE6595"/>
    <w:rsid w:val="00FE6F9B"/>
    <w:rsid w:val="00FF03B1"/>
    <w:rsid w:val="00FF1A67"/>
    <w:rsid w:val="00FF36E7"/>
    <w:rsid w:val="00FF3961"/>
    <w:rsid w:val="00FF40D6"/>
    <w:rsid w:val="00FF4EF3"/>
    <w:rsid w:val="00FF6C2E"/>
    <w:rsid w:val="00FF6F18"/>
    <w:rsid w:val="01290F7E"/>
    <w:rsid w:val="015D1E09"/>
    <w:rsid w:val="02697903"/>
    <w:rsid w:val="02F96569"/>
    <w:rsid w:val="03D251BA"/>
    <w:rsid w:val="03EA7B21"/>
    <w:rsid w:val="05A85C15"/>
    <w:rsid w:val="05F83EAE"/>
    <w:rsid w:val="063E7D85"/>
    <w:rsid w:val="07293586"/>
    <w:rsid w:val="07295285"/>
    <w:rsid w:val="07636392"/>
    <w:rsid w:val="076E3F95"/>
    <w:rsid w:val="07770C56"/>
    <w:rsid w:val="092217DD"/>
    <w:rsid w:val="093A7294"/>
    <w:rsid w:val="0A263993"/>
    <w:rsid w:val="0A2D3AC2"/>
    <w:rsid w:val="0AA755DF"/>
    <w:rsid w:val="0B120D44"/>
    <w:rsid w:val="0BD27BF6"/>
    <w:rsid w:val="0C3B3C7D"/>
    <w:rsid w:val="0CAB2EAE"/>
    <w:rsid w:val="0CF05A47"/>
    <w:rsid w:val="0D621C7D"/>
    <w:rsid w:val="0E73034D"/>
    <w:rsid w:val="0F13775A"/>
    <w:rsid w:val="0F5F45FE"/>
    <w:rsid w:val="0F9A112B"/>
    <w:rsid w:val="105F5F91"/>
    <w:rsid w:val="106D2F64"/>
    <w:rsid w:val="10B63710"/>
    <w:rsid w:val="10F10820"/>
    <w:rsid w:val="111C2F7A"/>
    <w:rsid w:val="11665CA1"/>
    <w:rsid w:val="13951726"/>
    <w:rsid w:val="14396509"/>
    <w:rsid w:val="14DD2C3C"/>
    <w:rsid w:val="15A00CFE"/>
    <w:rsid w:val="16087E1D"/>
    <w:rsid w:val="17701D14"/>
    <w:rsid w:val="17735226"/>
    <w:rsid w:val="189F624C"/>
    <w:rsid w:val="1A1C66C0"/>
    <w:rsid w:val="1A42393B"/>
    <w:rsid w:val="1AAD45DE"/>
    <w:rsid w:val="1B046F80"/>
    <w:rsid w:val="1B3267B5"/>
    <w:rsid w:val="1B40161D"/>
    <w:rsid w:val="1B441859"/>
    <w:rsid w:val="1B6606B1"/>
    <w:rsid w:val="1C5E7925"/>
    <w:rsid w:val="1CFD070F"/>
    <w:rsid w:val="1D5F6196"/>
    <w:rsid w:val="1D6132A5"/>
    <w:rsid w:val="1D8E56D5"/>
    <w:rsid w:val="1E7A43DA"/>
    <w:rsid w:val="1FE7539E"/>
    <w:rsid w:val="20671BE0"/>
    <w:rsid w:val="20963CB8"/>
    <w:rsid w:val="20A81A1B"/>
    <w:rsid w:val="20B07FB6"/>
    <w:rsid w:val="20B646FB"/>
    <w:rsid w:val="213B74B1"/>
    <w:rsid w:val="215A2310"/>
    <w:rsid w:val="21DE318A"/>
    <w:rsid w:val="21EF5B80"/>
    <w:rsid w:val="22576990"/>
    <w:rsid w:val="22F47480"/>
    <w:rsid w:val="23DE1C48"/>
    <w:rsid w:val="240210CD"/>
    <w:rsid w:val="24BF09F7"/>
    <w:rsid w:val="252D53FE"/>
    <w:rsid w:val="25EC2D81"/>
    <w:rsid w:val="277057A2"/>
    <w:rsid w:val="28E026ED"/>
    <w:rsid w:val="29206EB8"/>
    <w:rsid w:val="29595666"/>
    <w:rsid w:val="29874881"/>
    <w:rsid w:val="29E325E0"/>
    <w:rsid w:val="2A452503"/>
    <w:rsid w:val="2BA936A8"/>
    <w:rsid w:val="2C315A5A"/>
    <w:rsid w:val="2C4B1C25"/>
    <w:rsid w:val="2D9E56F5"/>
    <w:rsid w:val="2E667F96"/>
    <w:rsid w:val="2E8226AB"/>
    <w:rsid w:val="2FD065E6"/>
    <w:rsid w:val="2FD96870"/>
    <w:rsid w:val="30580BC9"/>
    <w:rsid w:val="311E2ED7"/>
    <w:rsid w:val="315619EE"/>
    <w:rsid w:val="315C449C"/>
    <w:rsid w:val="31B82709"/>
    <w:rsid w:val="31D05482"/>
    <w:rsid w:val="32400B34"/>
    <w:rsid w:val="329E6876"/>
    <w:rsid w:val="333015F2"/>
    <w:rsid w:val="334B6320"/>
    <w:rsid w:val="33D934D4"/>
    <w:rsid w:val="33FE2F6A"/>
    <w:rsid w:val="340E07E5"/>
    <w:rsid w:val="34235BF7"/>
    <w:rsid w:val="358C5FA8"/>
    <w:rsid w:val="35C15DF1"/>
    <w:rsid w:val="36074A7F"/>
    <w:rsid w:val="36923549"/>
    <w:rsid w:val="36B75FBF"/>
    <w:rsid w:val="36BD0C45"/>
    <w:rsid w:val="37E00298"/>
    <w:rsid w:val="38B302F9"/>
    <w:rsid w:val="38F12CD3"/>
    <w:rsid w:val="38F94775"/>
    <w:rsid w:val="392971ED"/>
    <w:rsid w:val="39325651"/>
    <w:rsid w:val="3A872856"/>
    <w:rsid w:val="3B3763D1"/>
    <w:rsid w:val="3C2F6E1E"/>
    <w:rsid w:val="3C4F64BA"/>
    <w:rsid w:val="3CDA245A"/>
    <w:rsid w:val="3D1E06B7"/>
    <w:rsid w:val="3EDA0523"/>
    <w:rsid w:val="407A6407"/>
    <w:rsid w:val="4200449D"/>
    <w:rsid w:val="423A3BCC"/>
    <w:rsid w:val="424E57D2"/>
    <w:rsid w:val="42B26C49"/>
    <w:rsid w:val="433A6FE6"/>
    <w:rsid w:val="43480868"/>
    <w:rsid w:val="4350713C"/>
    <w:rsid w:val="436653E0"/>
    <w:rsid w:val="43C4431A"/>
    <w:rsid w:val="44B951CC"/>
    <w:rsid w:val="44CD14E0"/>
    <w:rsid w:val="44F20B0B"/>
    <w:rsid w:val="452E5F4C"/>
    <w:rsid w:val="45612018"/>
    <w:rsid w:val="458946E9"/>
    <w:rsid w:val="45A47C0E"/>
    <w:rsid w:val="46577FD6"/>
    <w:rsid w:val="46D955A7"/>
    <w:rsid w:val="47133957"/>
    <w:rsid w:val="47A07E0C"/>
    <w:rsid w:val="47F53DBF"/>
    <w:rsid w:val="4870272E"/>
    <w:rsid w:val="49DC7715"/>
    <w:rsid w:val="4A023139"/>
    <w:rsid w:val="4A7B576F"/>
    <w:rsid w:val="4AF561A9"/>
    <w:rsid w:val="4B0B3D5F"/>
    <w:rsid w:val="4C4A0649"/>
    <w:rsid w:val="4C7E5ECA"/>
    <w:rsid w:val="4C876AA5"/>
    <w:rsid w:val="4D0E00FB"/>
    <w:rsid w:val="4D176606"/>
    <w:rsid w:val="4DEC4FB0"/>
    <w:rsid w:val="4E075D8A"/>
    <w:rsid w:val="4EC00FAD"/>
    <w:rsid w:val="4F9843DC"/>
    <w:rsid w:val="4FC62A8C"/>
    <w:rsid w:val="4FE20F0D"/>
    <w:rsid w:val="4FE51552"/>
    <w:rsid w:val="50504C4B"/>
    <w:rsid w:val="509C6E7C"/>
    <w:rsid w:val="5162104E"/>
    <w:rsid w:val="53A039CC"/>
    <w:rsid w:val="53A1505A"/>
    <w:rsid w:val="54063E08"/>
    <w:rsid w:val="543437E8"/>
    <w:rsid w:val="54F73313"/>
    <w:rsid w:val="54F80955"/>
    <w:rsid w:val="555170A7"/>
    <w:rsid w:val="5587536D"/>
    <w:rsid w:val="559B174B"/>
    <w:rsid w:val="55CE0CF4"/>
    <w:rsid w:val="56B22A9C"/>
    <w:rsid w:val="57B72A76"/>
    <w:rsid w:val="57C3426C"/>
    <w:rsid w:val="57CE1F93"/>
    <w:rsid w:val="588743D1"/>
    <w:rsid w:val="5887701A"/>
    <w:rsid w:val="59C0439F"/>
    <w:rsid w:val="5ABE2233"/>
    <w:rsid w:val="5BDF5D95"/>
    <w:rsid w:val="5BFE7528"/>
    <w:rsid w:val="5E2467F1"/>
    <w:rsid w:val="5F1A2B43"/>
    <w:rsid w:val="5F5C5FB8"/>
    <w:rsid w:val="5FB837BB"/>
    <w:rsid w:val="60CC405A"/>
    <w:rsid w:val="61E215D8"/>
    <w:rsid w:val="621B3775"/>
    <w:rsid w:val="62364782"/>
    <w:rsid w:val="6394356A"/>
    <w:rsid w:val="63C61B2C"/>
    <w:rsid w:val="63D40BE9"/>
    <w:rsid w:val="64102431"/>
    <w:rsid w:val="64A5243A"/>
    <w:rsid w:val="64F531DE"/>
    <w:rsid w:val="65373578"/>
    <w:rsid w:val="671F124A"/>
    <w:rsid w:val="677A33C6"/>
    <w:rsid w:val="681F6961"/>
    <w:rsid w:val="68610A2F"/>
    <w:rsid w:val="68805514"/>
    <w:rsid w:val="69316E2F"/>
    <w:rsid w:val="694E2071"/>
    <w:rsid w:val="69766163"/>
    <w:rsid w:val="697A3B33"/>
    <w:rsid w:val="69D44760"/>
    <w:rsid w:val="6A520EC7"/>
    <w:rsid w:val="6AF87E20"/>
    <w:rsid w:val="6B322639"/>
    <w:rsid w:val="6C636C38"/>
    <w:rsid w:val="6DB34098"/>
    <w:rsid w:val="6DB545B6"/>
    <w:rsid w:val="6DE02FB4"/>
    <w:rsid w:val="6E514CED"/>
    <w:rsid w:val="6EB563D5"/>
    <w:rsid w:val="6ED92677"/>
    <w:rsid w:val="6EDC3629"/>
    <w:rsid w:val="6F225983"/>
    <w:rsid w:val="6FFC5590"/>
    <w:rsid w:val="706D1DD0"/>
    <w:rsid w:val="70856B87"/>
    <w:rsid w:val="70D527EE"/>
    <w:rsid w:val="70F36F96"/>
    <w:rsid w:val="715B5300"/>
    <w:rsid w:val="71D27F8A"/>
    <w:rsid w:val="72553024"/>
    <w:rsid w:val="73122968"/>
    <w:rsid w:val="731F5D5E"/>
    <w:rsid w:val="73C51AD5"/>
    <w:rsid w:val="741E793C"/>
    <w:rsid w:val="745E3944"/>
    <w:rsid w:val="7635099D"/>
    <w:rsid w:val="77762421"/>
    <w:rsid w:val="77B56B1F"/>
    <w:rsid w:val="780F09F4"/>
    <w:rsid w:val="78A90480"/>
    <w:rsid w:val="7A364017"/>
    <w:rsid w:val="7A8265E1"/>
    <w:rsid w:val="7B686D42"/>
    <w:rsid w:val="7B841746"/>
    <w:rsid w:val="7C6C5AC7"/>
    <w:rsid w:val="7CC6544B"/>
    <w:rsid w:val="7D0239FF"/>
    <w:rsid w:val="7D5E40CD"/>
    <w:rsid w:val="7DCD56F2"/>
    <w:rsid w:val="7F001CE7"/>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ocked="1"/>
    <w:lsdException w:qFormat="1" w:uiPriority="9" w:semiHidden="0" w:name="heading 2" w:locked="1"/>
    <w:lsdException w:qFormat="1" w:uiPriority="9" w:semiHidden="0" w:name="heading 3" w:locked="1"/>
    <w:lsdException w:qFormat="1" w:uiPriority="9" w:semiHidden="0" w:name="heading 4" w:locked="1"/>
    <w:lsdException w:qFormat="1" w:uiPriority="0" w:semiHidden="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39"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unhideWhenUsed="0" w:uiPriority="0" w:semiHidden="0" w:name="Body Text First Indent" w:locked="1"/>
    <w:lsdException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unhideWhenUsed="0" w:uiPriority="0" w:semiHidden="0" w:name="Body Text Indent 2" w:locked="1"/>
    <w:lsdException w:unhideWhenUsed="0" w:uiPriority="0" w:semiHidden="0" w:name="Body Text Indent 3" w:locked="1"/>
    <w:lsdException w:unhideWhenUsed="0" w:uiPriority="0" w:semiHidden="0" w:name="Block Text" w:locked="1"/>
    <w:lsdException w:qFormat="1" w:uiPriority="99"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iPriority="0" w:name="Table Simple 1" w:locked="1"/>
    <w:lsdException w:qFormat="1" w:unhideWhenUsed="0" w:uiPriority="0" w:semiHidden="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qFormat="1" w:unhideWhenUsed="0" w:uiPriority="0" w:semiHidden="0" w:name="Table Elegant" w:locked="1"/>
    <w:lsdException w:qFormat="1" w:unhideWhenUsed="0" w:uiPriority="0" w:semiHidden="0" w:name="Table Professional" w:locked="1"/>
    <w:lsdException w:uiPriority="0" w:name="Table Subtle 1" w:locked="1"/>
    <w:lsdException w:uiPriority="0" w:name="Table Subtle 2" w:locked="1"/>
    <w:lsdException w:uiPriority="0" w:name="Table Web 1" w:locked="1"/>
    <w:lsdException w:qFormat="1" w:unhideWhenUsed="0" w:uiPriority="0" w:semiHidden="0" w:name="Table Web 2" w:locked="1"/>
    <w:lsdException w:qFormat="1" w:unhideWhenUsed="0" w:uiPriority="0" w:semiHidden="0" w:name="Table Web 3" w:locked="1"/>
    <w:lsdException w:qFormat="1" w:unhideWhenUsed="0" w:uiPriority="0" w:name="Balloon Text"/>
    <w:lsdException w:qFormat="1" w:unhideWhenUsed="0" w:uiPriority="39"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both"/>
    </w:pPr>
    <w:rPr>
      <w:rFonts w:ascii="Times New Roman" w:hAnsi="Times New Roman" w:eastAsia="宋体" w:cs="Times New Roman"/>
      <w:sz w:val="21"/>
      <w:szCs w:val="21"/>
      <w:lang w:val="en-US" w:eastAsia="zh-CN" w:bidi="ar-SA"/>
    </w:rPr>
  </w:style>
  <w:style w:type="paragraph" w:styleId="2">
    <w:name w:val="heading 1"/>
    <w:basedOn w:val="1"/>
    <w:next w:val="3"/>
    <w:link w:val="53"/>
    <w:autoRedefine/>
    <w:qFormat/>
    <w:locked/>
    <w:uiPriority w:val="9"/>
    <w:pPr>
      <w:keepNext/>
      <w:keepLines/>
      <w:pageBreakBefore/>
      <w:numPr>
        <w:ilvl w:val="0"/>
        <w:numId w:val="1"/>
      </w:numPr>
      <w:spacing w:line="360" w:lineRule="auto"/>
      <w:jc w:val="center"/>
      <w:outlineLvl w:val="0"/>
    </w:pPr>
    <w:rPr>
      <w:rFonts w:eastAsia="黑体"/>
      <w:b/>
      <w:bCs/>
      <w:kern w:val="44"/>
      <w:sz w:val="30"/>
      <w:szCs w:val="44"/>
    </w:rPr>
  </w:style>
  <w:style w:type="paragraph" w:styleId="4">
    <w:name w:val="heading 2"/>
    <w:basedOn w:val="1"/>
    <w:next w:val="3"/>
    <w:link w:val="54"/>
    <w:unhideWhenUsed/>
    <w:qFormat/>
    <w:locked/>
    <w:uiPriority w:val="9"/>
    <w:pPr>
      <w:keepNext/>
      <w:keepLines/>
      <w:numPr>
        <w:ilvl w:val="1"/>
        <w:numId w:val="1"/>
      </w:numPr>
      <w:spacing w:line="360" w:lineRule="auto"/>
      <w:outlineLvl w:val="1"/>
    </w:pPr>
    <w:rPr>
      <w:b/>
      <w:bCs/>
      <w:sz w:val="24"/>
      <w:szCs w:val="32"/>
    </w:rPr>
  </w:style>
  <w:style w:type="paragraph" w:styleId="5">
    <w:name w:val="heading 3"/>
    <w:basedOn w:val="1"/>
    <w:next w:val="3"/>
    <w:link w:val="55"/>
    <w:unhideWhenUsed/>
    <w:qFormat/>
    <w:locked/>
    <w:uiPriority w:val="9"/>
    <w:pPr>
      <w:numPr>
        <w:ilvl w:val="2"/>
        <w:numId w:val="1"/>
      </w:numPr>
      <w:spacing w:line="360" w:lineRule="auto"/>
      <w:ind w:firstLine="0"/>
      <w:outlineLvl w:val="2"/>
    </w:pPr>
    <w:rPr>
      <w:b/>
      <w:bCs/>
      <w:sz w:val="24"/>
      <w:szCs w:val="32"/>
    </w:rPr>
  </w:style>
  <w:style w:type="paragraph" w:styleId="6">
    <w:name w:val="heading 4"/>
    <w:basedOn w:val="1"/>
    <w:next w:val="3"/>
    <w:link w:val="56"/>
    <w:unhideWhenUsed/>
    <w:qFormat/>
    <w:locked/>
    <w:uiPriority w:val="9"/>
    <w:pPr>
      <w:keepNext/>
      <w:keepLines/>
      <w:numPr>
        <w:ilvl w:val="3"/>
        <w:numId w:val="1"/>
      </w:numPr>
      <w:spacing w:line="360" w:lineRule="auto"/>
      <w:outlineLvl w:val="3"/>
    </w:pPr>
    <w:rPr>
      <w:b/>
      <w:bCs/>
      <w:sz w:val="24"/>
      <w:szCs w:val="28"/>
    </w:rPr>
  </w:style>
  <w:style w:type="paragraph" w:styleId="7">
    <w:name w:val="heading 5"/>
    <w:basedOn w:val="1"/>
    <w:next w:val="3"/>
    <w:link w:val="60"/>
    <w:unhideWhenUsed/>
    <w:qFormat/>
    <w:locked/>
    <w:uiPriority w:val="0"/>
    <w:pPr>
      <w:widowControl w:val="0"/>
      <w:spacing w:line="360" w:lineRule="auto"/>
      <w:outlineLvl w:val="4"/>
    </w:pPr>
    <w:rPr>
      <w:b/>
      <w:bCs/>
      <w:sz w:val="24"/>
      <w:szCs w:val="28"/>
    </w:rPr>
  </w:style>
  <w:style w:type="character" w:default="1" w:styleId="27">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customStyle="1" w:styleId="3">
    <w:name w:val="报告正文"/>
    <w:basedOn w:val="1"/>
    <w:link w:val="48"/>
    <w:qFormat/>
    <w:uiPriority w:val="0"/>
    <w:pPr>
      <w:widowControl w:val="0"/>
      <w:adjustRightInd w:val="0"/>
      <w:snapToGrid w:val="0"/>
      <w:spacing w:line="360" w:lineRule="auto"/>
      <w:ind w:firstLine="200" w:firstLineChars="200"/>
    </w:pPr>
    <w:rPr>
      <w:snapToGrid w:val="0"/>
      <w:sz w:val="24"/>
      <w14:ligatures w14:val="standardContextual"/>
    </w:rPr>
  </w:style>
  <w:style w:type="paragraph" w:styleId="8">
    <w:name w:val="Normal Indent"/>
    <w:basedOn w:val="1"/>
    <w:next w:val="1"/>
    <w:autoRedefine/>
    <w:qFormat/>
    <w:locked/>
    <w:uiPriority w:val="0"/>
    <w:pPr>
      <w:widowControl w:val="0"/>
      <w:ind w:firstLine="420"/>
    </w:pPr>
    <w:rPr>
      <w:kern w:val="2"/>
      <w:szCs w:val="20"/>
    </w:rPr>
  </w:style>
  <w:style w:type="paragraph" w:styleId="9">
    <w:name w:val="caption"/>
    <w:basedOn w:val="1"/>
    <w:next w:val="1"/>
    <w:unhideWhenUsed/>
    <w:qFormat/>
    <w:locked/>
    <w:uiPriority w:val="0"/>
    <w:pPr>
      <w:spacing w:line="360" w:lineRule="auto"/>
    </w:pPr>
    <w:rPr>
      <w:sz w:val="18"/>
      <w:szCs w:val="20"/>
    </w:rPr>
  </w:style>
  <w:style w:type="paragraph" w:styleId="10">
    <w:name w:val="annotation text"/>
    <w:basedOn w:val="1"/>
    <w:link w:val="31"/>
    <w:autoRedefine/>
    <w:semiHidden/>
    <w:qFormat/>
    <w:uiPriority w:val="0"/>
    <w:pPr>
      <w:jc w:val="left"/>
    </w:pPr>
    <w:rPr>
      <w:sz w:val="24"/>
      <w:szCs w:val="20"/>
    </w:rPr>
  </w:style>
  <w:style w:type="paragraph" w:styleId="11">
    <w:name w:val="Body Text"/>
    <w:basedOn w:val="1"/>
    <w:link w:val="32"/>
    <w:autoRedefine/>
    <w:qFormat/>
    <w:uiPriority w:val="0"/>
    <w:pPr>
      <w:snapToGrid w:val="0"/>
      <w:spacing w:before="60" w:after="160" w:line="259" w:lineRule="auto"/>
      <w:ind w:right="113"/>
    </w:pPr>
    <w:rPr>
      <w:sz w:val="18"/>
      <w:szCs w:val="20"/>
    </w:rPr>
  </w:style>
  <w:style w:type="paragraph" w:styleId="12">
    <w:name w:val="Body Text Indent"/>
    <w:basedOn w:val="1"/>
    <w:link w:val="33"/>
    <w:autoRedefine/>
    <w:qFormat/>
    <w:uiPriority w:val="0"/>
    <w:pPr>
      <w:spacing w:after="120"/>
      <w:ind w:left="420" w:leftChars="200"/>
    </w:pPr>
    <w:rPr>
      <w:sz w:val="24"/>
      <w:szCs w:val="20"/>
    </w:rPr>
  </w:style>
  <w:style w:type="paragraph" w:styleId="13">
    <w:name w:val="Date"/>
    <w:basedOn w:val="1"/>
    <w:next w:val="1"/>
    <w:link w:val="34"/>
    <w:autoRedefine/>
    <w:qFormat/>
    <w:uiPriority w:val="0"/>
    <w:pPr>
      <w:ind w:left="100" w:leftChars="2500"/>
    </w:pPr>
    <w:rPr>
      <w:sz w:val="24"/>
      <w:szCs w:val="20"/>
    </w:rPr>
  </w:style>
  <w:style w:type="paragraph" w:styleId="14">
    <w:name w:val="Balloon Text"/>
    <w:basedOn w:val="1"/>
    <w:link w:val="35"/>
    <w:autoRedefine/>
    <w:semiHidden/>
    <w:qFormat/>
    <w:uiPriority w:val="0"/>
    <w:rPr>
      <w:sz w:val="18"/>
      <w:szCs w:val="20"/>
    </w:rPr>
  </w:style>
  <w:style w:type="paragraph" w:styleId="15">
    <w:name w:val="footer"/>
    <w:basedOn w:val="1"/>
    <w:link w:val="36"/>
    <w:autoRedefine/>
    <w:qFormat/>
    <w:uiPriority w:val="99"/>
    <w:pPr>
      <w:tabs>
        <w:tab w:val="center" w:pos="4153"/>
        <w:tab w:val="right" w:pos="8306"/>
      </w:tabs>
      <w:snapToGrid w:val="0"/>
      <w:jc w:val="left"/>
    </w:pPr>
    <w:rPr>
      <w:sz w:val="18"/>
      <w:szCs w:val="20"/>
    </w:rPr>
  </w:style>
  <w:style w:type="paragraph" w:styleId="16">
    <w:name w:val="header"/>
    <w:basedOn w:val="1"/>
    <w:link w:val="37"/>
    <w:autoRedefine/>
    <w:qFormat/>
    <w:uiPriority w:val="0"/>
    <w:pPr>
      <w:pBdr>
        <w:bottom w:val="single" w:color="auto" w:sz="6" w:space="1"/>
      </w:pBdr>
      <w:tabs>
        <w:tab w:val="center" w:pos="4153"/>
        <w:tab w:val="right" w:pos="8306"/>
      </w:tabs>
      <w:snapToGrid w:val="0"/>
      <w:jc w:val="center"/>
    </w:pPr>
    <w:rPr>
      <w:sz w:val="18"/>
      <w:szCs w:val="20"/>
    </w:rPr>
  </w:style>
  <w:style w:type="paragraph" w:styleId="17">
    <w:name w:val="toc 1"/>
    <w:basedOn w:val="1"/>
    <w:next w:val="1"/>
    <w:autoRedefine/>
    <w:qFormat/>
    <w:locked/>
    <w:uiPriority w:val="39"/>
    <w:pPr>
      <w:tabs>
        <w:tab w:val="right" w:leader="dot" w:pos="8834"/>
      </w:tabs>
      <w:spacing w:line="360" w:lineRule="auto"/>
    </w:pPr>
    <w:rPr>
      <w:sz w:val="24"/>
    </w:rPr>
  </w:style>
  <w:style w:type="paragraph" w:styleId="18">
    <w:name w:val="Normal (Web)"/>
    <w:basedOn w:val="1"/>
    <w:link w:val="38"/>
    <w:autoRedefine/>
    <w:qFormat/>
    <w:uiPriority w:val="0"/>
    <w:pPr>
      <w:snapToGrid w:val="0"/>
      <w:jc w:val="left"/>
      <w:outlineLvl w:val="0"/>
    </w:pPr>
    <w:rPr>
      <w:rFonts w:ascii="宋体" w:hAnsi="宋体"/>
      <w:sz w:val="24"/>
      <w:szCs w:val="20"/>
    </w:rPr>
  </w:style>
  <w:style w:type="paragraph" w:styleId="19">
    <w:name w:val="annotation subject"/>
    <w:basedOn w:val="10"/>
    <w:next w:val="10"/>
    <w:link w:val="39"/>
    <w:autoRedefine/>
    <w:semiHidden/>
    <w:qFormat/>
    <w:uiPriority w:val="0"/>
    <w:rPr>
      <w:b/>
    </w:rPr>
  </w:style>
  <w:style w:type="table" w:styleId="21">
    <w:name w:val="Table Grid"/>
    <w:basedOn w:val="20"/>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table" w:styleId="22">
    <w:name w:val="Table Elegant"/>
    <w:basedOn w:val="20"/>
    <w:qFormat/>
    <w:locked/>
    <w:uiPriority w:val="0"/>
    <w:pPr>
      <w:adjustRightInd w:val="0"/>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il"/>
          <w:tr2bl w:val="nil"/>
        </w:tcBorders>
      </w:tcPr>
    </w:tblStylePr>
  </w:style>
  <w:style w:type="table" w:styleId="23">
    <w:name w:val="Table Simple 2"/>
    <w:basedOn w:val="20"/>
    <w:autoRedefine/>
    <w:qFormat/>
    <w:locked/>
    <w:uiPriority w:val="0"/>
    <w:pPr>
      <w:adjustRightInd w:val="0"/>
    </w:pPr>
    <w:tblPr/>
    <w:tblStylePr w:type="firstRow">
      <w:rPr>
        <w:b/>
        <w:bCs/>
      </w:rPr>
      <w:tblPr/>
      <w:tcPr>
        <w:tcBorders>
          <w:bottom w:val="single" w:color="000000" w:sz="12" w:space="0"/>
          <w:tl2br w:val="nil"/>
          <w:tr2bl w:val="nil"/>
        </w:tcBorders>
      </w:tcPr>
    </w:tblStylePr>
    <w:tblStylePr w:type="lastRow">
      <w:rPr>
        <w:b/>
        <w:bCs/>
        <w:color w:val="auto"/>
      </w:rPr>
      <w:tblPr/>
      <w:tcPr>
        <w:tcBorders>
          <w:top w:val="single" w:color="000000" w:sz="6" w:space="0"/>
          <w:tl2br w:val="nil"/>
          <w:tr2bl w:val="nil"/>
        </w:tcBorders>
      </w:tcPr>
    </w:tblStylePr>
    <w:tblStylePr w:type="firstCol">
      <w:rPr>
        <w:b/>
        <w:bCs/>
      </w:rPr>
      <w:tblPr/>
      <w:tcPr>
        <w:tcBorders>
          <w:right w:val="single" w:color="000000" w:sz="12" w:space="0"/>
          <w:tl2br w:val="nil"/>
          <w:tr2bl w:val="nil"/>
        </w:tcBorders>
      </w:tcPr>
    </w:tblStylePr>
    <w:tblStylePr w:type="lastCol">
      <w:rPr>
        <w:b/>
        <w:bCs/>
      </w:rPr>
      <w:tblPr/>
      <w:tcPr>
        <w:tcBorders>
          <w:left w:val="single" w:color="000000" w:sz="6" w:space="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24">
    <w:name w:val="Table Web 2"/>
    <w:basedOn w:val="20"/>
    <w:autoRedefine/>
    <w:qFormat/>
    <w:locked/>
    <w:uiPriority w:val="0"/>
    <w:pPr>
      <w:adjustRightInd w:val="0"/>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25">
    <w:name w:val="Table Web 3"/>
    <w:basedOn w:val="20"/>
    <w:autoRedefine/>
    <w:qFormat/>
    <w:locked/>
    <w:uiPriority w:val="0"/>
    <w:pPr>
      <w:adjustRightInd w:val="0"/>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26">
    <w:name w:val="Table Professional"/>
    <w:basedOn w:val="20"/>
    <w:autoRedefine/>
    <w:qFormat/>
    <w:locked/>
    <w:uiPriority w:val="0"/>
    <w:pPr>
      <w:adjustRightInd w:val="0"/>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il"/>
          <w:tr2bl w:val="nil"/>
        </w:tcBorders>
        <w:shd w:val="solid" w:color="000000" w:fill="FFFFFF"/>
      </w:tcPr>
    </w:tblStylePr>
  </w:style>
  <w:style w:type="character" w:styleId="28">
    <w:name w:val="page number"/>
    <w:autoRedefine/>
    <w:qFormat/>
    <w:locked/>
    <w:uiPriority w:val="0"/>
  </w:style>
  <w:style w:type="character" w:styleId="29">
    <w:name w:val="Hyperlink"/>
    <w:basedOn w:val="27"/>
    <w:unhideWhenUsed/>
    <w:qFormat/>
    <w:locked/>
    <w:uiPriority w:val="99"/>
    <w:rPr>
      <w:color w:val="0563C1" w:themeColor="hyperlink"/>
      <w:u w:val="single"/>
      <w14:textFill>
        <w14:solidFill>
          <w14:schemeClr w14:val="hlink"/>
        </w14:solidFill>
      </w14:textFill>
    </w:rPr>
  </w:style>
  <w:style w:type="character" w:styleId="30">
    <w:name w:val="annotation reference"/>
    <w:autoRedefine/>
    <w:semiHidden/>
    <w:qFormat/>
    <w:uiPriority w:val="0"/>
    <w:rPr>
      <w:sz w:val="21"/>
    </w:rPr>
  </w:style>
  <w:style w:type="character" w:customStyle="1" w:styleId="31">
    <w:name w:val="批注文字 字符"/>
    <w:link w:val="10"/>
    <w:autoRedefine/>
    <w:qFormat/>
    <w:locked/>
    <w:uiPriority w:val="0"/>
    <w:rPr>
      <w:rFonts w:ascii="Times New Roman" w:hAnsi="Times New Roman" w:eastAsia="宋体"/>
      <w:sz w:val="24"/>
    </w:rPr>
  </w:style>
  <w:style w:type="character" w:customStyle="1" w:styleId="32">
    <w:name w:val="正文文本 字符"/>
    <w:link w:val="11"/>
    <w:autoRedefine/>
    <w:qFormat/>
    <w:locked/>
    <w:uiPriority w:val="0"/>
    <w:rPr>
      <w:sz w:val="18"/>
    </w:rPr>
  </w:style>
  <w:style w:type="character" w:customStyle="1" w:styleId="33">
    <w:name w:val="正文文本缩进 字符"/>
    <w:link w:val="12"/>
    <w:autoRedefine/>
    <w:semiHidden/>
    <w:qFormat/>
    <w:locked/>
    <w:uiPriority w:val="0"/>
    <w:rPr>
      <w:rFonts w:ascii="Times New Roman" w:hAnsi="Times New Roman" w:eastAsia="宋体"/>
      <w:sz w:val="24"/>
    </w:rPr>
  </w:style>
  <w:style w:type="character" w:customStyle="1" w:styleId="34">
    <w:name w:val="日期 字符1"/>
    <w:link w:val="13"/>
    <w:autoRedefine/>
    <w:qFormat/>
    <w:locked/>
    <w:uiPriority w:val="0"/>
    <w:rPr>
      <w:rFonts w:ascii="Times New Roman" w:hAnsi="Times New Roman" w:eastAsia="宋体"/>
      <w:sz w:val="24"/>
    </w:rPr>
  </w:style>
  <w:style w:type="character" w:customStyle="1" w:styleId="35">
    <w:name w:val="批注框文本 字符"/>
    <w:link w:val="14"/>
    <w:autoRedefine/>
    <w:semiHidden/>
    <w:qFormat/>
    <w:locked/>
    <w:uiPriority w:val="0"/>
    <w:rPr>
      <w:rFonts w:ascii="Times New Roman" w:hAnsi="Times New Roman" w:eastAsia="宋体"/>
      <w:sz w:val="18"/>
    </w:rPr>
  </w:style>
  <w:style w:type="character" w:customStyle="1" w:styleId="36">
    <w:name w:val="页脚 字符1"/>
    <w:link w:val="15"/>
    <w:autoRedefine/>
    <w:qFormat/>
    <w:locked/>
    <w:uiPriority w:val="99"/>
    <w:rPr>
      <w:sz w:val="18"/>
    </w:rPr>
  </w:style>
  <w:style w:type="character" w:customStyle="1" w:styleId="37">
    <w:name w:val="页眉 字符"/>
    <w:link w:val="16"/>
    <w:autoRedefine/>
    <w:qFormat/>
    <w:locked/>
    <w:uiPriority w:val="0"/>
    <w:rPr>
      <w:sz w:val="18"/>
    </w:rPr>
  </w:style>
  <w:style w:type="character" w:customStyle="1" w:styleId="38">
    <w:name w:val="普通(网站) 字符"/>
    <w:link w:val="18"/>
    <w:autoRedefine/>
    <w:qFormat/>
    <w:locked/>
    <w:uiPriority w:val="0"/>
    <w:rPr>
      <w:rFonts w:ascii="宋体" w:hAnsi="宋体"/>
      <w:sz w:val="24"/>
      <w:szCs w:val="20"/>
    </w:rPr>
  </w:style>
  <w:style w:type="character" w:customStyle="1" w:styleId="39">
    <w:name w:val="批注主题 字符"/>
    <w:link w:val="19"/>
    <w:autoRedefine/>
    <w:semiHidden/>
    <w:qFormat/>
    <w:locked/>
    <w:uiPriority w:val="0"/>
    <w:rPr>
      <w:rFonts w:ascii="Times New Roman" w:hAnsi="Times New Roman" w:eastAsia="宋体"/>
      <w:b/>
      <w:kern w:val="2"/>
      <w:sz w:val="24"/>
    </w:rPr>
  </w:style>
  <w:style w:type="character" w:customStyle="1" w:styleId="40">
    <w:name w:val="页脚 字符"/>
    <w:autoRedefine/>
    <w:qFormat/>
    <w:uiPriority w:val="99"/>
  </w:style>
  <w:style w:type="character" w:customStyle="1" w:styleId="41">
    <w:name w:val="正文文本 字符1"/>
    <w:autoRedefine/>
    <w:semiHidden/>
    <w:qFormat/>
    <w:uiPriority w:val="0"/>
    <w:rPr>
      <w:rFonts w:ascii="Times New Roman" w:hAnsi="Times New Roman" w:eastAsia="宋体"/>
      <w:sz w:val="24"/>
    </w:rPr>
  </w:style>
  <w:style w:type="character" w:customStyle="1" w:styleId="42">
    <w:name w:val="表格 Char"/>
    <w:link w:val="43"/>
    <w:autoRedefine/>
    <w:qFormat/>
    <w:locked/>
    <w:uiPriority w:val="0"/>
    <w:rPr>
      <w:rFonts w:ascii="宋体"/>
      <w:sz w:val="21"/>
    </w:rPr>
  </w:style>
  <w:style w:type="paragraph" w:customStyle="1" w:styleId="43">
    <w:name w:val="表格"/>
    <w:basedOn w:val="1"/>
    <w:next w:val="1"/>
    <w:link w:val="42"/>
    <w:qFormat/>
    <w:uiPriority w:val="0"/>
    <w:pPr>
      <w:adjustRightInd w:val="0"/>
      <w:snapToGrid w:val="0"/>
      <w:spacing w:beforeLines="10" w:afterLines="10" w:line="259" w:lineRule="auto"/>
      <w:jc w:val="center"/>
    </w:pPr>
    <w:rPr>
      <w:rFonts w:ascii="宋体"/>
      <w:szCs w:val="20"/>
    </w:rPr>
  </w:style>
  <w:style w:type="character" w:customStyle="1" w:styleId="44">
    <w:name w:val="日期 字符"/>
    <w:semiHidden/>
    <w:qFormat/>
    <w:uiPriority w:val="0"/>
    <w:rPr>
      <w:rFonts w:ascii="Times New Roman" w:hAnsi="Times New Roman" w:eastAsia="宋体"/>
      <w:sz w:val="24"/>
    </w:rPr>
  </w:style>
  <w:style w:type="character" w:customStyle="1" w:styleId="45">
    <w:name w:val="批注文字 字符1"/>
    <w:semiHidden/>
    <w:qFormat/>
    <w:uiPriority w:val="0"/>
    <w:rPr>
      <w:rFonts w:ascii="Times New Roman" w:hAnsi="Times New Roman" w:eastAsia="宋体"/>
      <w:sz w:val="24"/>
    </w:rPr>
  </w:style>
  <w:style w:type="paragraph" w:customStyle="1" w:styleId="46">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7">
    <w:name w:val="普通(网站)2"/>
    <w:basedOn w:val="1"/>
    <w:qFormat/>
    <w:uiPriority w:val="0"/>
    <w:pPr>
      <w:spacing w:before="100" w:beforeAutospacing="1" w:after="100" w:afterAutospacing="1"/>
      <w:jc w:val="left"/>
    </w:pPr>
    <w:rPr>
      <w:rFonts w:ascii="宋体" w:hAnsi="宋体"/>
      <w:sz w:val="24"/>
      <w:szCs w:val="20"/>
    </w:rPr>
  </w:style>
  <w:style w:type="character" w:customStyle="1" w:styleId="48">
    <w:name w:val="报告正文 字符"/>
    <w:link w:val="3"/>
    <w:qFormat/>
    <w:uiPriority w:val="0"/>
    <w:rPr>
      <w:snapToGrid w:val="0"/>
      <w:sz w:val="24"/>
      <w:szCs w:val="21"/>
      <w14:ligatures w14:val="standardContextual"/>
    </w:rPr>
  </w:style>
  <w:style w:type="paragraph" w:customStyle="1" w:styleId="49">
    <w:name w:val="LV-表头"/>
    <w:basedOn w:val="3"/>
    <w:next w:val="3"/>
    <w:qFormat/>
    <w:uiPriority w:val="0"/>
    <w:pPr>
      <w:ind w:firstLine="0" w:firstLineChars="0"/>
      <w:jc w:val="center"/>
    </w:pPr>
    <w:rPr>
      <w:b/>
      <w:bCs/>
      <w:snapToGrid/>
    </w:rPr>
  </w:style>
  <w:style w:type="table" w:customStyle="1" w:styleId="50">
    <w:name w:val="LV-三线表"/>
    <w:basedOn w:val="20"/>
    <w:qFormat/>
    <w:uiPriority w:val="99"/>
    <w:pPr>
      <w:widowControl w:val="0"/>
      <w:overflowPunct w:val="0"/>
      <w:autoSpaceDE w:val="0"/>
      <w:autoSpaceDN w:val="0"/>
      <w:snapToGrid w:val="0"/>
      <w:jc w:val="center"/>
    </w:pPr>
    <w:rPr>
      <w14:ligatures w14:val="standardContextual"/>
    </w:rPr>
    <w:tblPr>
      <w:jc w:val="center"/>
      <w:tblBorders>
        <w:top w:val="single" w:color="auto" w:sz="12" w:space="0"/>
        <w:bottom w:val="single" w:color="auto" w:sz="12" w:space="0"/>
        <w:insideH w:val="single" w:color="auto" w:sz="4" w:space="0"/>
        <w:insideV w:val="single" w:color="auto" w:sz="4" w:space="0"/>
      </w:tblBorders>
      <w:tblCellMar>
        <w:left w:w="57" w:type="dxa"/>
        <w:right w:w="57" w:type="dxa"/>
      </w:tblCellMar>
    </w:tblPr>
    <w:trPr>
      <w:jc w:val="center"/>
    </w:trPr>
    <w:tcPr>
      <w:vAlign w:val="center"/>
    </w:tcPr>
    <w:tblStylePr w:type="firstRow">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pPr>
      <w:rPr>
        <w:rFonts w:hint="default" w:ascii="Times New Roman" w:hAnsi="Times New Roman" w:eastAsia="宋体" w:cs="Times New Roman"/>
        <w:b/>
        <w:i w:val="0"/>
        <w:sz w:val="21"/>
        <w:szCs w:val="21"/>
      </w:rPr>
      <w:tcPr>
        <w:tcBorders>
          <w:top w:val="single" w:color="auto" w:sz="12" w:space="0"/>
          <w:left w:val="nil"/>
          <w:bottom w:val="single" w:color="auto" w:sz="12" w:space="0"/>
          <w:right w:val="nil"/>
          <w:insideH w:val="nil"/>
          <w:insideV w:val="single" w:sz="4" w:space="0"/>
          <w:tl2br w:val="nil"/>
          <w:tr2bl w:val="nil"/>
        </w:tcBorders>
      </w:tcPr>
    </w:tblStylePr>
    <w:tblStylePr w:type="lastRow">
      <w:tcPr>
        <w:tcBorders>
          <w:bottom w:val="single" w:color="auto" w:sz="12" w:space="0"/>
        </w:tcBorders>
      </w:tcPr>
    </w:tblStylePr>
  </w:style>
  <w:style w:type="paragraph" w:customStyle="1" w:styleId="51">
    <w:name w:val="LV图"/>
    <w:basedOn w:val="1"/>
    <w:next w:val="3"/>
    <w:qFormat/>
    <w:uiPriority w:val="99"/>
    <w:pPr>
      <w:jc w:val="center"/>
    </w:pPr>
    <w:rPr>
      <w:rFonts w:cstheme="minorBidi"/>
      <w:kern w:val="2"/>
      <w14:ligatures w14:val="standardContextual"/>
    </w:rPr>
  </w:style>
  <w:style w:type="paragraph" w:customStyle="1" w:styleId="52">
    <w:name w:val="报告加粗"/>
    <w:basedOn w:val="3"/>
    <w:next w:val="3"/>
    <w:qFormat/>
    <w:uiPriority w:val="0"/>
    <w:pPr>
      <w:ind w:firstLine="482"/>
      <w:jc w:val="left"/>
    </w:pPr>
    <w:rPr>
      <w:b/>
    </w:rPr>
  </w:style>
  <w:style w:type="character" w:customStyle="1" w:styleId="53">
    <w:name w:val="标题 1 字符"/>
    <w:link w:val="2"/>
    <w:qFormat/>
    <w:uiPriority w:val="9"/>
    <w:rPr>
      <w:rFonts w:eastAsia="黑体"/>
      <w:b/>
      <w:bCs/>
      <w:kern w:val="44"/>
      <w:sz w:val="30"/>
      <w:szCs w:val="44"/>
    </w:rPr>
  </w:style>
  <w:style w:type="character" w:customStyle="1" w:styleId="54">
    <w:name w:val="标题 2 字符"/>
    <w:link w:val="4"/>
    <w:qFormat/>
    <w:uiPriority w:val="9"/>
    <w:rPr>
      <w:b/>
      <w:bCs/>
      <w:kern w:val="2"/>
      <w:sz w:val="24"/>
      <w:szCs w:val="32"/>
    </w:rPr>
  </w:style>
  <w:style w:type="character" w:customStyle="1" w:styleId="55">
    <w:name w:val="标题 3 字符"/>
    <w:link w:val="5"/>
    <w:qFormat/>
    <w:uiPriority w:val="9"/>
    <w:rPr>
      <w:b/>
      <w:bCs/>
      <w:kern w:val="2"/>
      <w:sz w:val="24"/>
      <w:szCs w:val="32"/>
    </w:rPr>
  </w:style>
  <w:style w:type="character" w:customStyle="1" w:styleId="56">
    <w:name w:val="标题 4 字符"/>
    <w:link w:val="6"/>
    <w:qFormat/>
    <w:uiPriority w:val="9"/>
    <w:rPr>
      <w:b/>
      <w:bCs/>
      <w:kern w:val="2"/>
      <w:sz w:val="24"/>
      <w:szCs w:val="28"/>
    </w:rPr>
  </w:style>
  <w:style w:type="table" w:customStyle="1" w:styleId="57">
    <w:name w:val="网格型浅色1"/>
    <w:basedOn w:val="20"/>
    <w:qFormat/>
    <w:uiPriority w:val="40"/>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58">
    <w:name w:val="无格式表格 31"/>
    <w:basedOn w:val="20"/>
    <w:qFormat/>
    <w:uiPriority w:val="43"/>
    <w:tblStylePr w:type="firstRow">
      <w:rPr>
        <w:b/>
        <w:bCs/>
        <w:caps/>
      </w:rPr>
      <w:tcPr>
        <w:tcBorders>
          <w:bottom w:val="single" w:color="7F7F7F" w:sz="4" w:space="0"/>
        </w:tcBorders>
      </w:tcPr>
    </w:tblStylePr>
    <w:tblStylePr w:type="lastRow">
      <w:rPr>
        <w:b/>
        <w:bCs/>
        <w:caps/>
      </w:rPr>
      <w:tcPr>
        <w:tcBorders>
          <w:top w:val="nil"/>
        </w:tcBorders>
      </w:tcPr>
    </w:tblStylePr>
    <w:tblStylePr w:type="firstCol">
      <w:rPr>
        <w:b/>
        <w:bCs/>
        <w:caps/>
      </w:rPr>
      <w:tcPr>
        <w:tcBorders>
          <w:right w:val="single" w:color="7F7F7F" w:sz="4" w:space="0"/>
        </w:tcBorders>
      </w:tcPr>
    </w:tblStylePr>
    <w:tblStylePr w:type="lastCol">
      <w:rPr>
        <w:b/>
        <w:bCs/>
        <w:caps/>
      </w:rPr>
      <w:tcPr>
        <w:tcBorders>
          <w:left w:val="nil"/>
        </w:tcBorders>
      </w:tcPr>
    </w:tblStylePr>
    <w:tblStylePr w:type="band1Vert">
      <w:tcPr>
        <w:shd w:val="clear" w:color="auto" w:fill="F2F2F2"/>
      </w:tcPr>
    </w:tblStylePr>
    <w:tblStylePr w:type="band1Horz">
      <w:tcPr>
        <w:shd w:val="clear" w:color="auto" w:fill="F2F2F2"/>
      </w:tcPr>
    </w:tblStylePr>
    <w:tblStylePr w:type="neCell">
      <w:tcPr>
        <w:tcBorders>
          <w:left w:val="nil"/>
        </w:tcBorders>
      </w:tcPr>
    </w:tblStylePr>
    <w:tblStylePr w:type="nwCell">
      <w:tcPr>
        <w:tcBorders>
          <w:right w:val="nil"/>
        </w:tcBorders>
      </w:tcPr>
    </w:tblStylePr>
  </w:style>
  <w:style w:type="paragraph" w:customStyle="1" w:styleId="59">
    <w:name w:val="Table Paragraph"/>
    <w:basedOn w:val="1"/>
    <w:qFormat/>
    <w:uiPriority w:val="1"/>
    <w:pPr>
      <w:widowControl w:val="0"/>
      <w:autoSpaceDE w:val="0"/>
      <w:autoSpaceDN w:val="0"/>
      <w:jc w:val="left"/>
    </w:pPr>
    <w:rPr>
      <w:rFonts w:ascii="宋体" w:hAnsi="宋体" w:cs="宋体"/>
      <w:sz w:val="22"/>
      <w:szCs w:val="22"/>
      <w:lang w:eastAsia="en-US"/>
    </w:rPr>
  </w:style>
  <w:style w:type="character" w:customStyle="1" w:styleId="60">
    <w:name w:val="标题 5 字符"/>
    <w:link w:val="7"/>
    <w:qFormat/>
    <w:uiPriority w:val="0"/>
    <w:rPr>
      <w:b/>
      <w:bCs/>
      <w:sz w:val="24"/>
      <w:szCs w:val="28"/>
    </w:rPr>
  </w:style>
  <w:style w:type="table" w:customStyle="1" w:styleId="61">
    <w:name w:val="Table Normal"/>
    <w:semiHidden/>
    <w:unhideWhenUsed/>
    <w:qFormat/>
    <w:uiPriority w:val="2"/>
    <w:pPr>
      <w:widowControl w:val="0"/>
      <w:autoSpaceDE w:val="0"/>
      <w:autoSpaceDN w:val="0"/>
    </w:pPr>
    <w:rPr>
      <w:lang w:eastAsia="en-US"/>
    </w:rPr>
    <w:tblPr>
      <w:tblCellMar>
        <w:top w:w="0" w:type="dxa"/>
        <w:left w:w="0" w:type="dxa"/>
        <w:bottom w:w="0" w:type="dxa"/>
        <w:right w:w="0" w:type="dxa"/>
      </w:tblCellMar>
    </w:tblPr>
  </w:style>
  <w:style w:type="paragraph" w:customStyle="1" w:styleId="62">
    <w:name w:val="0-1正文"/>
    <w:basedOn w:val="1"/>
    <w:link w:val="63"/>
    <w:autoRedefine/>
    <w:qFormat/>
    <w:uiPriority w:val="0"/>
    <w:pPr>
      <w:widowControl w:val="0"/>
      <w:autoSpaceDE w:val="0"/>
      <w:autoSpaceDN w:val="0"/>
      <w:adjustRightInd w:val="0"/>
      <w:snapToGrid w:val="0"/>
      <w:spacing w:line="360" w:lineRule="auto"/>
      <w:ind w:firstLine="200" w:firstLineChars="200"/>
    </w:pPr>
    <w:rPr>
      <w:rFonts w:cs="宋体"/>
    </w:rPr>
  </w:style>
  <w:style w:type="character" w:customStyle="1" w:styleId="63">
    <w:name w:val="0-1正文 Char"/>
    <w:link w:val="62"/>
    <w:qFormat/>
    <w:uiPriority w:val="0"/>
    <w:rPr>
      <w:rFonts w:cs="宋体"/>
      <w:sz w:val="21"/>
      <w:szCs w:val="21"/>
    </w:rPr>
  </w:style>
  <w:style w:type="paragraph" w:customStyle="1" w:styleId="64">
    <w:name w:val="小四表中"/>
    <w:basedOn w:val="1"/>
    <w:qFormat/>
    <w:uiPriority w:val="0"/>
    <w:pPr>
      <w:snapToGrid w:val="0"/>
      <w:jc w:val="center"/>
    </w:pPr>
    <w:rPr>
      <w:sz w:val="24"/>
    </w:rPr>
  </w:style>
  <w:style w:type="paragraph" w:customStyle="1" w:styleId="65">
    <w:name w:val="L-附图附件"/>
    <w:basedOn w:val="1"/>
    <w:next w:val="3"/>
    <w:qFormat/>
    <w:uiPriority w:val="0"/>
    <w:pPr>
      <w:adjustRightInd w:val="0"/>
      <w:snapToGrid w:val="0"/>
      <w:spacing w:line="360" w:lineRule="auto"/>
      <w:outlineLvl w:val="0"/>
    </w:pPr>
    <w:rPr>
      <w:rFonts w:eastAsia="黑体"/>
      <w:sz w:val="28"/>
      <w14:ligatures w14:val="standardContextual"/>
    </w:rPr>
  </w:style>
  <w:style w:type="paragraph" w:customStyle="1" w:styleId="66">
    <w:name w:val="备注"/>
    <w:basedOn w:val="3"/>
    <w:next w:val="3"/>
    <w:qFormat/>
    <w:uiPriority w:val="0"/>
    <w:pPr>
      <w:overflowPunct w:val="0"/>
      <w:spacing w:after="50" w:afterLines="50" w:line="240" w:lineRule="auto"/>
      <w:ind w:firstLine="0" w:firstLineChars="0"/>
    </w:pPr>
    <w:rPr>
      <w:sz w:val="18"/>
    </w:rPr>
  </w:style>
  <w:style w:type="paragraph" w:customStyle="1" w:styleId="67">
    <w:name w:val="表中文字"/>
    <w:basedOn w:val="18"/>
    <w:autoRedefine/>
    <w:qFormat/>
    <w:uiPriority w:val="0"/>
  </w:style>
  <w:style w:type="paragraph" w:styleId="68">
    <w:name w:val="List Paragraph"/>
    <w:basedOn w:val="1"/>
    <w:unhideWhenUsed/>
    <w:qFormat/>
    <w:uiPriority w:val="99"/>
    <w:pPr>
      <w:ind w:firstLine="420" w:firstLineChars="200"/>
    </w:pPr>
  </w:style>
  <w:style w:type="paragraph" w:customStyle="1" w:styleId="69">
    <w:name w:val="D表内"/>
    <w:basedOn w:val="43"/>
    <w:qFormat/>
    <w:uiPriority w:val="0"/>
    <w:pPr>
      <w:widowControl w:val="0"/>
      <w:spacing w:beforeLines="0" w:afterLines="0" w:line="240" w:lineRule="auto"/>
    </w:pPr>
    <w:rPr>
      <w:rFonts w:ascii="Times New Roman"/>
    </w:rPr>
  </w:style>
  <w:style w:type="paragraph" w:customStyle="1" w:styleId="70">
    <w:name w:val="TOC Heading"/>
    <w:basedOn w:val="2"/>
    <w:next w:val="1"/>
    <w:unhideWhenUsed/>
    <w:qFormat/>
    <w:uiPriority w:val="39"/>
    <w:pPr>
      <w:pageBreakBefore w:val="0"/>
      <w:numPr>
        <w:numId w:val="0"/>
      </w:numPr>
      <w:spacing w:before="24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1" Type="http://schemas.openxmlformats.org/officeDocument/2006/relationships/fontTable" Target="fontTable.xml"/><Relationship Id="rId40" Type="http://schemas.openxmlformats.org/officeDocument/2006/relationships/customXml" Target="../customXml/item2.xml"/><Relationship Id="rId4" Type="http://schemas.openxmlformats.org/officeDocument/2006/relationships/footer" Target="footer2.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jpeg"/><Relationship Id="rId33" Type="http://schemas.openxmlformats.org/officeDocument/2006/relationships/image" Target="media/image21.jpeg"/><Relationship Id="rId32" Type="http://schemas.openxmlformats.org/officeDocument/2006/relationships/image" Target="media/image20.jpeg"/><Relationship Id="rId31" Type="http://schemas.openxmlformats.org/officeDocument/2006/relationships/image" Target="media/image19.jpeg"/><Relationship Id="rId30" Type="http://schemas.openxmlformats.org/officeDocument/2006/relationships/image" Target="media/image18.jpeg"/><Relationship Id="rId3" Type="http://schemas.openxmlformats.org/officeDocument/2006/relationships/footer" Target="footer1.xml"/><Relationship Id="rId29" Type="http://schemas.openxmlformats.org/officeDocument/2006/relationships/image" Target="media/image17.jpeg"/><Relationship Id="rId28" Type="http://schemas.openxmlformats.org/officeDocument/2006/relationships/image" Target="media/image16.jpeg"/><Relationship Id="rId27" Type="http://schemas.openxmlformats.org/officeDocument/2006/relationships/image" Target="media/image15.jpeg"/><Relationship Id="rId26" Type="http://schemas.openxmlformats.org/officeDocument/2006/relationships/image" Target="media/image14.jpe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50A8114-CC0A-4813-B9FC-AF4B088E5F47}">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65</Pages>
  <Words>1276</Words>
  <Characters>1356</Characters>
  <Lines>75</Lines>
  <Paragraphs>89</Paragraphs>
  <TotalTime>6</TotalTime>
  <ScaleCrop>false</ScaleCrop>
  <LinksUpToDate>false</LinksUpToDate>
  <CharactersWithSpaces>1383</CharactersWithSpaces>
  <Application>WPS Office_12.1.0.20288_F1E327BC-269C-435d-A152-05C5408002CA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2024-01-03T08:04:00Z</dcterms:created>
  <dc:creator>lhj</dc:creator>
  <cp:lastModifiedBy>无色相系黑白灰</cp:lastModifiedBy>
  <cp:lastPrinted>2024-01-26T02:20:00Z</cp:lastPrinted>
  <dcterms:modified xsi:type="dcterms:W3CDTF">2025-03-18T02:03:12Z</dcterms:modified>
  <dc:title>附件2</dc:title>
  <cp:revision>566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2052-12.1.0.20288</vt:lpwstr>
  </property>
  <property fmtid="{D5CDD505-2E9C-101B-9397-08002B2CF9AE}" pid="3" name="ICV">
    <vt:lpwstr>03B274D19BD24D5C91D4B48D1917C457</vt:lpwstr>
  </property>
  <property fmtid="{D5CDD505-2E9C-101B-9397-08002B2CF9AE}" pid="4" name="KSOTemplateDocerSaveRecord">
    <vt:lpwstr>eyJoZGlkIjoiMzdiZDFiYjE5NGIzYTVhNmY1MTAxNjBjOGM1YTU4ZDEiLCJ1c2VySWQiOiI1NjkzNTUyOTEifQ==</vt:lpwstr>
  </property>
</Properties>
</file>